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3C5693C4"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13D18CDC">
                <wp:simplePos x="0" y="0"/>
                <wp:positionH relativeFrom="column">
                  <wp:posOffset>-46355</wp:posOffset>
                </wp:positionH>
                <wp:positionV relativeFrom="paragraph">
                  <wp:posOffset>2151</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AE5CE" id="Rectangle 3" o:spid="_x0000_s1026" style="position:absolute;margin-left:-3.65pt;margin-top:.15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" fillcolor="#cfcdcd" stroked="f" strokecolor="#f2f2f2" strokeweight="3pt">
                <v:shadow color="#823b0b" opacity=".5" offset="1pt,.74833mm"/>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806594">
        <w:rPr>
          <w:b/>
          <w:sz w:val="32"/>
          <w:szCs w:val="32"/>
        </w:rPr>
        <w:t>CYKLON</w:t>
      </w:r>
      <w:r w:rsidR="00187859">
        <w:rPr>
          <w:b/>
          <w:sz w:val="32"/>
          <w:szCs w:val="32"/>
        </w:rPr>
        <w:t xml:space="preserve"> Vŕtací a rezací olej</w:t>
      </w:r>
      <w:r w:rsidR="00F15373" w:rsidRPr="00D07378">
        <w:rPr>
          <w:b/>
          <w:sz w:val="36"/>
          <w:szCs w:val="36"/>
        </w:rPr>
        <w:t xml:space="preserve"> </w:t>
      </w:r>
    </w:p>
    <w:p w14:paraId="34A20C6E" w14:textId="5FEA00A7"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E23FF5" w:rsidRPr="00E23FF5">
        <w:rPr>
          <w:sz w:val="20"/>
          <w:szCs w:val="20"/>
        </w:rPr>
        <w:t>1900601</w:t>
      </w:r>
      <w:bookmarkStart w:id="0" w:name="_GoBack"/>
      <w:bookmarkEnd w:id="0"/>
    </w:p>
    <w:p w14:paraId="47C3B2D9" w14:textId="77777777" w:rsidR="00F15373" w:rsidRPr="00A82AB4" w:rsidRDefault="00F15373" w:rsidP="00F15373">
      <w:pPr>
        <w:pStyle w:val="Nadpis1"/>
        <w:rPr>
          <w:lang w:val="sk-SK"/>
        </w:rPr>
      </w:pPr>
    </w:p>
    <w:p w14:paraId="39B11556" w14:textId="77777777" w:rsidR="00A62B84" w:rsidRPr="00A82AB4" w:rsidRDefault="00A62B84" w:rsidP="00775E72">
      <w:pPr>
        <w:pStyle w:val="Nadpis1"/>
        <w:rPr>
          <w:lang w:val="sk-SK"/>
        </w:rPr>
      </w:pPr>
    </w:p>
    <w:p w14:paraId="2A3819D2" w14:textId="7DE078B8" w:rsidR="00187859" w:rsidRPr="00187859" w:rsidRDefault="00806594" w:rsidP="00187859">
      <w:pPr>
        <w:rPr>
          <w:szCs w:val="22"/>
        </w:rPr>
      </w:pPr>
      <w:r>
        <w:rPr>
          <w:b/>
          <w:szCs w:val="22"/>
        </w:rPr>
        <w:t>CYKLON</w:t>
      </w:r>
      <w:r w:rsidR="00187859" w:rsidRPr="00187859">
        <w:rPr>
          <w:szCs w:val="22"/>
        </w:rPr>
        <w:t xml:space="preserve"> </w:t>
      </w:r>
      <w:r w:rsidR="00187859" w:rsidRPr="00207FEA">
        <w:rPr>
          <w:b/>
          <w:szCs w:val="22"/>
        </w:rPr>
        <w:t>Vŕtací a rezací olej</w:t>
      </w:r>
      <w:r w:rsidR="00187859" w:rsidRPr="00187859">
        <w:rPr>
          <w:szCs w:val="22"/>
        </w:rPr>
        <w:t xml:space="preserve"> je univerzálne použiteľná mazacia a chladiaca látka pri obrábaní kovov.</w:t>
      </w:r>
    </w:p>
    <w:p w14:paraId="40B0CA05" w14:textId="0FCB1EE7" w:rsidR="00187859" w:rsidRPr="00187859" w:rsidRDefault="00187859" w:rsidP="00187859">
      <w:pPr>
        <w:rPr>
          <w:szCs w:val="22"/>
        </w:rPr>
      </w:pPr>
      <w:r w:rsidRPr="00187859">
        <w:rPr>
          <w:szCs w:val="22"/>
        </w:rPr>
        <w:t>Môže sa použiť pri oceli, hliníku a farebných kovoch.</w:t>
      </w:r>
      <w:r>
        <w:rPr>
          <w:szCs w:val="22"/>
        </w:rPr>
        <w:t xml:space="preserve"> N</w:t>
      </w:r>
      <w:r w:rsidRPr="00187859">
        <w:rPr>
          <w:szCs w:val="22"/>
        </w:rPr>
        <w:t xml:space="preserve">ie je škodlivý pre životné prostredie </w:t>
      </w:r>
      <w:r>
        <w:rPr>
          <w:szCs w:val="22"/>
        </w:rPr>
        <w:t>(</w:t>
      </w:r>
      <w:r w:rsidRPr="00187859">
        <w:rPr>
          <w:szCs w:val="22"/>
        </w:rPr>
        <w:t>bez ťažkých kovov</w:t>
      </w:r>
      <w:r>
        <w:rPr>
          <w:szCs w:val="22"/>
        </w:rPr>
        <w:t>)</w:t>
      </w:r>
      <w:r w:rsidRPr="00187859">
        <w:rPr>
          <w:szCs w:val="22"/>
        </w:rPr>
        <w:t xml:space="preserve">  a pre svoju dobrú priľnavosť je zabezpečená malá spotreba. </w:t>
      </w:r>
    </w:p>
    <w:p w14:paraId="594306F8" w14:textId="77777777" w:rsidR="00187859" w:rsidRDefault="00187859" w:rsidP="00187859"/>
    <w:p w14:paraId="7B6F3A2C" w14:textId="3E7754ED" w:rsidR="00187859" w:rsidRPr="00187859" w:rsidRDefault="00187859" w:rsidP="00187859">
      <w:pPr>
        <w:pStyle w:val="Nadpis1"/>
        <w:rPr>
          <w:sz w:val="24"/>
          <w:lang w:val="sk-SK"/>
        </w:rPr>
      </w:pPr>
      <w:r w:rsidRPr="00187859">
        <w:rPr>
          <w:lang w:val="sk-SK"/>
        </w:rPr>
        <w:t>Oblasti použitia</w:t>
      </w:r>
    </w:p>
    <w:p w14:paraId="0301D2F4" w14:textId="77777777" w:rsidR="00187859" w:rsidRDefault="00187859" w:rsidP="00187859">
      <w:pPr>
        <w:rPr>
          <w:b/>
        </w:rPr>
      </w:pPr>
    </w:p>
    <w:p w14:paraId="2692B480" w14:textId="122F973C" w:rsidR="00187859" w:rsidRPr="00187859" w:rsidRDefault="00806594" w:rsidP="00187859">
      <w:pPr>
        <w:rPr>
          <w:szCs w:val="22"/>
        </w:rPr>
      </w:pPr>
      <w:r>
        <w:rPr>
          <w:szCs w:val="22"/>
        </w:rPr>
        <w:t>CYKLON</w:t>
      </w:r>
      <w:r w:rsidR="00187859" w:rsidRPr="00187859">
        <w:rPr>
          <w:szCs w:val="22"/>
        </w:rPr>
        <w:t xml:space="preserve"> V</w:t>
      </w:r>
      <w:r w:rsidR="00187859">
        <w:rPr>
          <w:szCs w:val="22"/>
        </w:rPr>
        <w:t>ŕ</w:t>
      </w:r>
      <w:r w:rsidR="00187859" w:rsidRPr="00187859">
        <w:rPr>
          <w:szCs w:val="22"/>
        </w:rPr>
        <w:t>tací a rezací olej je možné použiť pri všetkých v</w:t>
      </w:r>
      <w:r w:rsidR="00187859">
        <w:rPr>
          <w:szCs w:val="22"/>
        </w:rPr>
        <w:t>ŕ</w:t>
      </w:r>
      <w:r w:rsidR="00187859" w:rsidRPr="00187859">
        <w:rPr>
          <w:szCs w:val="22"/>
        </w:rPr>
        <w:t>tacích a rezacích postupoch</w:t>
      </w:r>
      <w:r w:rsidR="00187859">
        <w:rPr>
          <w:szCs w:val="22"/>
        </w:rPr>
        <w:t xml:space="preserve">, </w:t>
      </w:r>
      <w:r w:rsidR="00187859" w:rsidRPr="00187859">
        <w:rPr>
          <w:szCs w:val="22"/>
        </w:rPr>
        <w:t>napr. v</w:t>
      </w:r>
      <w:r w:rsidR="00187859">
        <w:rPr>
          <w:szCs w:val="22"/>
        </w:rPr>
        <w:t>ŕ</w:t>
      </w:r>
      <w:r w:rsidR="00187859" w:rsidRPr="00187859">
        <w:rPr>
          <w:szCs w:val="22"/>
        </w:rPr>
        <w:t>tanie, rezanie, frézovanie, rezanie závitov, lisovanie</w:t>
      </w:r>
      <w:r w:rsidR="00187859">
        <w:rPr>
          <w:szCs w:val="22"/>
        </w:rPr>
        <w:t xml:space="preserve">. </w:t>
      </w:r>
      <w:r w:rsidR="00187859" w:rsidRPr="00187859">
        <w:rPr>
          <w:szCs w:val="22"/>
        </w:rPr>
        <w:t>Pri použití je možné udržiavať nízke rezacie teploty a týmto podstatne predĺžiť životnosť nástrojov.</w:t>
      </w:r>
    </w:p>
    <w:p w14:paraId="19B2A648" w14:textId="77777777" w:rsidR="00187859" w:rsidRDefault="00187859" w:rsidP="00187859"/>
    <w:p w14:paraId="75A1DCDD" w14:textId="77777777" w:rsidR="00187859" w:rsidRPr="00187859" w:rsidRDefault="00187859" w:rsidP="00187859">
      <w:pPr>
        <w:pStyle w:val="Nadpis1"/>
        <w:rPr>
          <w:bCs/>
          <w:sz w:val="24"/>
          <w:lang w:val="sk-SK"/>
        </w:rPr>
      </w:pPr>
      <w:r w:rsidRPr="00187859">
        <w:rPr>
          <w:bCs/>
          <w:lang w:val="sk-SK"/>
        </w:rPr>
        <w:t>Vlastnosti produktu</w:t>
      </w:r>
    </w:p>
    <w:p w14:paraId="66F704A4" w14:textId="77777777" w:rsidR="00187859" w:rsidRDefault="00187859" w:rsidP="00187859"/>
    <w:p w14:paraId="5DA2F9C7" w14:textId="2D79F0EE" w:rsidR="00187859" w:rsidRDefault="00187859" w:rsidP="00187859">
      <w:pPr>
        <w:pStyle w:val="Odsekzoznamu"/>
        <w:numPr>
          <w:ilvl w:val="0"/>
          <w:numId w:val="8"/>
        </w:numPr>
      </w:pPr>
      <w:r>
        <w:t xml:space="preserve">miešateľný s minerálnymi olejmi </w:t>
      </w:r>
    </w:p>
    <w:p w14:paraId="50552BEC" w14:textId="3A1C9CC6" w:rsidR="00187859" w:rsidRDefault="00187859" w:rsidP="00187859">
      <w:pPr>
        <w:pStyle w:val="Odsekzoznamu"/>
        <w:numPr>
          <w:ilvl w:val="0"/>
          <w:numId w:val="8"/>
        </w:numPr>
      </w:pPr>
      <w:r>
        <w:t>bez ťažkých kovov</w:t>
      </w:r>
    </w:p>
    <w:p w14:paraId="6E82D466" w14:textId="76B72840" w:rsidR="00187859" w:rsidRDefault="00187859" w:rsidP="00187859">
      <w:pPr>
        <w:pStyle w:val="Odsekzoznamu"/>
        <w:numPr>
          <w:ilvl w:val="0"/>
          <w:numId w:val="8"/>
        </w:numPr>
      </w:pPr>
      <w:r>
        <w:t>redukuje teplotu a tým podstatne predlžuje životnosť nástrojov</w:t>
      </w:r>
    </w:p>
    <w:p w14:paraId="2C1B3AD4" w14:textId="6B9014A9" w:rsidR="00187859" w:rsidRDefault="00187859" w:rsidP="00187859">
      <w:pPr>
        <w:pStyle w:val="Odsekzoznamu"/>
        <w:numPr>
          <w:ilvl w:val="0"/>
          <w:numId w:val="8"/>
        </w:numPr>
      </w:pPr>
      <w:r>
        <w:t>redukuje vibrácie a zabezpečí menej hlučné spracovanie</w:t>
      </w:r>
    </w:p>
    <w:p w14:paraId="2BAC8E8A" w14:textId="11758983" w:rsidR="00187859" w:rsidRDefault="00187859" w:rsidP="00187859">
      <w:pPr>
        <w:pStyle w:val="Odsekzoznamu"/>
        <w:numPr>
          <w:ilvl w:val="0"/>
          <w:numId w:val="8"/>
        </w:numPr>
      </w:pPr>
      <w:r>
        <w:t xml:space="preserve">dobrá priľnavosť zabezpečí malú spotrebu </w:t>
      </w:r>
    </w:p>
    <w:p w14:paraId="15E50E77" w14:textId="652932A4" w:rsidR="00187859" w:rsidRDefault="00187859" w:rsidP="00187859">
      <w:pPr>
        <w:pStyle w:val="Odsekzoznamu"/>
        <w:numPr>
          <w:ilvl w:val="0"/>
          <w:numId w:val="8"/>
        </w:numPr>
      </w:pPr>
      <w:r>
        <w:t>vhodné pre oceľ, hliník, farebné kovy a plasty</w:t>
      </w:r>
    </w:p>
    <w:p w14:paraId="0F68A5E7" w14:textId="7888A56D" w:rsidR="00187859" w:rsidRDefault="00187859" w:rsidP="00187859">
      <w:pPr>
        <w:pStyle w:val="Odsekzoznamu"/>
        <w:numPr>
          <w:ilvl w:val="0"/>
          <w:numId w:val="8"/>
        </w:numPr>
      </w:pPr>
      <w:r>
        <w:t>produkt na všetky druhy obrábania a na všetky kovy</w:t>
      </w:r>
    </w:p>
    <w:p w14:paraId="3CB14B03" w14:textId="2D3F3D5C" w:rsidR="00187859" w:rsidRDefault="00187859" w:rsidP="00187859">
      <w:pPr>
        <w:pStyle w:val="Odsekzoznamu"/>
        <w:numPr>
          <w:ilvl w:val="0"/>
          <w:numId w:val="8"/>
        </w:numPr>
      </w:pPr>
      <w:r>
        <w:t xml:space="preserve">špeciálna rozprašovacia hlavica s predĺženou rozprašovacou trubkou umožní cielené nanesenie </w:t>
      </w:r>
    </w:p>
    <w:p w14:paraId="78977F7D" w14:textId="77777777" w:rsidR="00187859" w:rsidRDefault="00187859" w:rsidP="00187859">
      <w:pPr>
        <w:rPr>
          <w:b/>
          <w:sz w:val="24"/>
        </w:rPr>
      </w:pPr>
    </w:p>
    <w:p w14:paraId="6702D099" w14:textId="77777777" w:rsidR="00187859" w:rsidRPr="00187859" w:rsidRDefault="00187859" w:rsidP="00187859">
      <w:pPr>
        <w:pStyle w:val="Nadpis1"/>
        <w:rPr>
          <w:sz w:val="24"/>
          <w:lang w:val="sk-SK"/>
        </w:rPr>
      </w:pPr>
      <w:r w:rsidRPr="00187859">
        <w:rPr>
          <w:lang w:val="sk-SK"/>
        </w:rPr>
        <w:t>Informácie o spracovaní</w:t>
      </w:r>
    </w:p>
    <w:p w14:paraId="720976E3" w14:textId="77777777" w:rsidR="00187859" w:rsidRDefault="00187859" w:rsidP="00187859">
      <w:pPr>
        <w:rPr>
          <w:b/>
          <w:sz w:val="24"/>
        </w:rPr>
      </w:pPr>
    </w:p>
    <w:p w14:paraId="63E5A5B0" w14:textId="0A8F4D60" w:rsidR="00187859" w:rsidRDefault="00187859" w:rsidP="00187859">
      <w:r>
        <w:rPr>
          <w:u w:val="single"/>
        </w:rPr>
        <w:t>Použitie:</w:t>
      </w:r>
      <w:r w:rsidRPr="00187859">
        <w:t xml:space="preserve"> </w:t>
      </w:r>
      <w:r>
        <w:t>Nádobu silne potriasť. Z cca. 20 - 30 cm vzdialenosti cielene naniesť.</w:t>
      </w:r>
    </w:p>
    <w:p w14:paraId="7C122C7F" w14:textId="77777777" w:rsidR="00187859" w:rsidRDefault="00187859" w:rsidP="00187859"/>
    <w:p w14:paraId="5F7991AE" w14:textId="04CDC7A3" w:rsidR="00187859" w:rsidRPr="00187859" w:rsidRDefault="00187859" w:rsidP="00187859">
      <w:pPr>
        <w:pStyle w:val="Nadpis1"/>
        <w:rPr>
          <w:sz w:val="24"/>
          <w:lang w:val="sk-SK"/>
        </w:rPr>
      </w:pPr>
      <w:r>
        <w:rPr>
          <w:lang w:val="sk-SK"/>
        </w:rPr>
        <w:t>Technické údaje</w:t>
      </w:r>
    </w:p>
    <w:p w14:paraId="55D69E05" w14:textId="77777777" w:rsidR="00187859" w:rsidRDefault="00187859" w:rsidP="0018785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789"/>
      </w:tblGrid>
      <w:tr w:rsidR="00187859" w14:paraId="6F3C0099" w14:textId="77777777" w:rsidTr="00A216F0">
        <w:tc>
          <w:tcPr>
            <w:tcW w:w="3070" w:type="dxa"/>
            <w:shd w:val="pct25" w:color="000000" w:fill="FFFFFF"/>
          </w:tcPr>
          <w:p w14:paraId="25790F8B" w14:textId="36EB6F94" w:rsidR="00187859" w:rsidRDefault="00187859" w:rsidP="00A216F0">
            <w:pPr>
              <w:rPr>
                <w:b/>
              </w:rPr>
            </w:pPr>
            <w:r>
              <w:rPr>
                <w:b/>
              </w:rPr>
              <w:t>Technické vlastnosti</w:t>
            </w:r>
          </w:p>
        </w:tc>
        <w:tc>
          <w:tcPr>
            <w:tcW w:w="5789" w:type="dxa"/>
            <w:shd w:val="pct25" w:color="000000" w:fill="FFFFFF"/>
          </w:tcPr>
          <w:p w14:paraId="3056064A" w14:textId="77777777" w:rsidR="00187859" w:rsidRDefault="00187859" w:rsidP="00A216F0">
            <w:pPr>
              <w:rPr>
                <w:b/>
              </w:rPr>
            </w:pPr>
          </w:p>
        </w:tc>
      </w:tr>
      <w:tr w:rsidR="00187859" w14:paraId="4AFF6BC7" w14:textId="77777777" w:rsidTr="00A216F0">
        <w:tc>
          <w:tcPr>
            <w:tcW w:w="3070" w:type="dxa"/>
          </w:tcPr>
          <w:p w14:paraId="6BEFE4DE" w14:textId="77777777" w:rsidR="00187859" w:rsidRDefault="00187859" w:rsidP="00A216F0">
            <w:r>
              <w:t>Farba</w:t>
            </w:r>
          </w:p>
        </w:tc>
        <w:tc>
          <w:tcPr>
            <w:tcW w:w="5789" w:type="dxa"/>
          </w:tcPr>
          <w:p w14:paraId="6D2BF914" w14:textId="77777777" w:rsidR="00187859" w:rsidRDefault="00187859" w:rsidP="00A216F0">
            <w:r>
              <w:t>mliečne biela až žltkastá</w:t>
            </w:r>
          </w:p>
        </w:tc>
      </w:tr>
      <w:tr w:rsidR="00187859" w14:paraId="6EC25450" w14:textId="77777777" w:rsidTr="00A216F0">
        <w:tc>
          <w:tcPr>
            <w:tcW w:w="3070" w:type="dxa"/>
          </w:tcPr>
          <w:p w14:paraId="43D68058" w14:textId="77777777" w:rsidR="00187859" w:rsidRDefault="00187859" w:rsidP="00A216F0">
            <w:r>
              <w:t>Zápach</w:t>
            </w:r>
          </w:p>
        </w:tc>
        <w:tc>
          <w:tcPr>
            <w:tcW w:w="5789" w:type="dxa"/>
          </w:tcPr>
          <w:p w14:paraId="17067BA6" w14:textId="77777777" w:rsidR="00187859" w:rsidRDefault="00187859" w:rsidP="00A216F0">
            <w:r>
              <w:t>druhovo charakteristický</w:t>
            </w:r>
          </w:p>
        </w:tc>
      </w:tr>
      <w:tr w:rsidR="00187859" w14:paraId="32BE18F4" w14:textId="77777777" w:rsidTr="00A216F0">
        <w:tc>
          <w:tcPr>
            <w:tcW w:w="3070" w:type="dxa"/>
          </w:tcPr>
          <w:p w14:paraId="30296611" w14:textId="77777777" w:rsidR="00187859" w:rsidRDefault="00187859" w:rsidP="00A216F0">
            <w:r>
              <w:t>Miešateľnosť</w:t>
            </w:r>
          </w:p>
        </w:tc>
        <w:tc>
          <w:tcPr>
            <w:tcW w:w="5789" w:type="dxa"/>
          </w:tcPr>
          <w:p w14:paraId="3F3D6E52" w14:textId="77777777" w:rsidR="00187859" w:rsidRDefault="00187859" w:rsidP="00A216F0">
            <w:r>
              <w:t>s minerálnymi olejmi (nie s vodou)</w:t>
            </w:r>
          </w:p>
        </w:tc>
      </w:tr>
      <w:tr w:rsidR="00187859" w14:paraId="65EDB1EB" w14:textId="77777777" w:rsidTr="00A216F0">
        <w:tc>
          <w:tcPr>
            <w:tcW w:w="3070" w:type="dxa"/>
          </w:tcPr>
          <w:p w14:paraId="41D02853" w14:textId="77777777" w:rsidR="00187859" w:rsidRDefault="00187859" w:rsidP="00A216F0">
            <w:r>
              <w:t>Použitie - Teplota</w:t>
            </w:r>
          </w:p>
        </w:tc>
        <w:tc>
          <w:tcPr>
            <w:tcW w:w="5789" w:type="dxa"/>
          </w:tcPr>
          <w:p w14:paraId="69A7D044" w14:textId="77777777" w:rsidR="00187859" w:rsidRDefault="00187859" w:rsidP="00A216F0">
            <w:r>
              <w:t>do 150°C</w:t>
            </w:r>
          </w:p>
        </w:tc>
      </w:tr>
      <w:tr w:rsidR="00187859" w14:paraId="5E2097A7" w14:textId="77777777" w:rsidTr="00A216F0">
        <w:tc>
          <w:tcPr>
            <w:tcW w:w="3070" w:type="dxa"/>
          </w:tcPr>
          <w:p w14:paraId="6ACF6FD1" w14:textId="77777777" w:rsidR="00187859" w:rsidRDefault="00187859" w:rsidP="00A216F0">
            <w:r>
              <w:t>skladovateľnosť</w:t>
            </w:r>
          </w:p>
        </w:tc>
        <w:tc>
          <w:tcPr>
            <w:tcW w:w="5789" w:type="dxa"/>
          </w:tcPr>
          <w:p w14:paraId="330190E6" w14:textId="77777777" w:rsidR="00187859" w:rsidRDefault="00187859" w:rsidP="00A216F0">
            <w:r>
              <w:t>3 roky pri vhodnom skladovaní</w:t>
            </w:r>
          </w:p>
        </w:tc>
      </w:tr>
    </w:tbl>
    <w:p w14:paraId="6E03ADB7" w14:textId="77777777" w:rsidR="00336838" w:rsidRPr="00A82AB4" w:rsidRDefault="00336838" w:rsidP="00A82AB4">
      <w:pPr>
        <w:pStyle w:val="Nadpis1"/>
        <w:rPr>
          <w:rFonts w:ascii="Verdana" w:hAnsi="Verdana"/>
          <w:color w:val="333333"/>
          <w:lang w:val="sk-SK"/>
        </w:rPr>
      </w:pPr>
    </w:p>
    <w:sectPr w:rsidR="00336838" w:rsidRPr="00A82AB4" w:rsidSect="00806594">
      <w:headerReference w:type="default" r:id="rId8"/>
      <w:footerReference w:type="default" r:id="rId9"/>
      <w:pgSz w:w="11906" w:h="16838"/>
      <w:pgMar w:top="1107" w:right="1417" w:bottom="1276" w:left="1417" w:header="316"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2DBF3" w14:textId="77777777" w:rsidR="00323551" w:rsidRDefault="00323551" w:rsidP="00336838">
      <w:r>
        <w:separator/>
      </w:r>
    </w:p>
  </w:endnote>
  <w:endnote w:type="continuationSeparator" w:id="0">
    <w:p w14:paraId="2E3FE528" w14:textId="77777777" w:rsidR="00323551" w:rsidRDefault="00323551"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323551"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E0497" w14:textId="77777777" w:rsidR="00323551" w:rsidRDefault="00323551" w:rsidP="00336838">
      <w:r>
        <w:separator/>
      </w:r>
    </w:p>
  </w:footnote>
  <w:footnote w:type="continuationSeparator" w:id="0">
    <w:p w14:paraId="36EA9A28" w14:textId="77777777" w:rsidR="00323551" w:rsidRDefault="00323551"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56E0C405" w:rsidR="00336838" w:rsidRDefault="00806594" w:rsidP="00806594">
    <w:pPr>
      <w:pStyle w:val="Hlavika"/>
      <w:jc w:val="center"/>
    </w:pPr>
    <w:r>
      <w:rPr>
        <w:noProof/>
      </w:rPr>
      <w:drawing>
        <wp:inline distT="0" distB="0" distL="0" distR="0" wp14:anchorId="07CCD274" wp14:editId="27C53BB6">
          <wp:extent cx="2452495" cy="713959"/>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484798" cy="723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A849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E202115"/>
    <w:multiLevelType w:val="hybridMultilevel"/>
    <w:tmpl w:val="DACC7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87859"/>
    <w:rsid w:val="0019406F"/>
    <w:rsid w:val="00196EE0"/>
    <w:rsid w:val="001A3E40"/>
    <w:rsid w:val="001B7EA3"/>
    <w:rsid w:val="001D10C1"/>
    <w:rsid w:val="001D1DA7"/>
    <w:rsid w:val="00207FEA"/>
    <w:rsid w:val="00272BBB"/>
    <w:rsid w:val="002B5628"/>
    <w:rsid w:val="002F7F8A"/>
    <w:rsid w:val="00323551"/>
    <w:rsid w:val="00336838"/>
    <w:rsid w:val="00352430"/>
    <w:rsid w:val="00357F95"/>
    <w:rsid w:val="00366B8E"/>
    <w:rsid w:val="003A0CF0"/>
    <w:rsid w:val="003C55B1"/>
    <w:rsid w:val="003D63C0"/>
    <w:rsid w:val="00407C26"/>
    <w:rsid w:val="004201CE"/>
    <w:rsid w:val="00456441"/>
    <w:rsid w:val="00477F65"/>
    <w:rsid w:val="004C08F3"/>
    <w:rsid w:val="004F6388"/>
    <w:rsid w:val="0059253E"/>
    <w:rsid w:val="005E4D31"/>
    <w:rsid w:val="00631894"/>
    <w:rsid w:val="00690EA8"/>
    <w:rsid w:val="006922E0"/>
    <w:rsid w:val="006F00DF"/>
    <w:rsid w:val="00741F0B"/>
    <w:rsid w:val="00775E72"/>
    <w:rsid w:val="0077797C"/>
    <w:rsid w:val="007957AA"/>
    <w:rsid w:val="00806594"/>
    <w:rsid w:val="00821E55"/>
    <w:rsid w:val="00887099"/>
    <w:rsid w:val="00914460"/>
    <w:rsid w:val="00914E0A"/>
    <w:rsid w:val="00946E36"/>
    <w:rsid w:val="00997F43"/>
    <w:rsid w:val="009A0E38"/>
    <w:rsid w:val="00A62B84"/>
    <w:rsid w:val="00A82AB4"/>
    <w:rsid w:val="00A83358"/>
    <w:rsid w:val="00A87AB7"/>
    <w:rsid w:val="00A91082"/>
    <w:rsid w:val="00AA39EF"/>
    <w:rsid w:val="00AB4D47"/>
    <w:rsid w:val="00AC5272"/>
    <w:rsid w:val="00B163E9"/>
    <w:rsid w:val="00B41D5A"/>
    <w:rsid w:val="00BB6AAB"/>
    <w:rsid w:val="00BD5304"/>
    <w:rsid w:val="00BF748F"/>
    <w:rsid w:val="00C06A1E"/>
    <w:rsid w:val="00C42090"/>
    <w:rsid w:val="00C613B1"/>
    <w:rsid w:val="00D07378"/>
    <w:rsid w:val="00D315D0"/>
    <w:rsid w:val="00D74E69"/>
    <w:rsid w:val="00DA1608"/>
    <w:rsid w:val="00DB1208"/>
    <w:rsid w:val="00DB5448"/>
    <w:rsid w:val="00DF3DFA"/>
    <w:rsid w:val="00E01FF8"/>
    <w:rsid w:val="00E0516E"/>
    <w:rsid w:val="00E23FF5"/>
    <w:rsid w:val="00E37A3A"/>
    <w:rsid w:val="00E57134"/>
    <w:rsid w:val="00E73240"/>
    <w:rsid w:val="00E84BD6"/>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187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621C-D810-3B44-B969-9A548F2D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1175</Characters>
  <Application>Microsoft Office Word</Application>
  <DocSecurity>0</DocSecurity>
  <Lines>9</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1378</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4</cp:revision>
  <cp:lastPrinted>2016-07-20T09:54:00Z</cp:lastPrinted>
  <dcterms:created xsi:type="dcterms:W3CDTF">2019-03-29T07:49:00Z</dcterms:created>
  <dcterms:modified xsi:type="dcterms:W3CDTF">2019-03-29T08:04:00Z</dcterms:modified>
</cp:coreProperties>
</file>