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4199D" w:rsidTr="00211B17">
        <w:tc>
          <w:tcPr>
            <w:tcW w:w="9072" w:type="dxa"/>
            <w:shd w:val="clear" w:color="auto" w:fill="FFFF00"/>
          </w:tcPr>
          <w:p w:rsidR="00DD79BD" w:rsidRPr="0094199D" w:rsidRDefault="00DD79BD" w:rsidP="00DD79BD">
            <w:pPr>
              <w:autoSpaceDE w:val="0"/>
              <w:autoSpaceDN w:val="0"/>
              <w:adjustRightInd w:val="0"/>
              <w:spacing w:after="0" w:line="240" w:lineRule="auto"/>
              <w:ind w:left="150"/>
              <w:rPr>
                <w:rFonts w:ascii="Arial" w:hAnsi="Arial" w:cs="Arial"/>
                <w:sz w:val="20"/>
                <w:szCs w:val="20"/>
              </w:rPr>
            </w:pPr>
            <w:r w:rsidRPr="0094199D">
              <w:rPr>
                <w:rFonts w:ascii="Arial" w:hAnsi="Arial" w:cs="Arial"/>
                <w:b/>
                <w:bCs/>
                <w:sz w:val="20"/>
                <w:szCs w:val="20"/>
              </w:rPr>
              <w:t>ODDIEL 1: Identifikácia látky/zmesi a spoločnosti/podniku</w:t>
            </w:r>
          </w:p>
        </w:tc>
      </w:tr>
    </w:tbl>
    <w:p w:rsidR="00DD79BD" w:rsidRPr="0094199D"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94199D" w:rsidTr="00DD79BD">
        <w:tc>
          <w:tcPr>
            <w:tcW w:w="9072" w:type="dxa"/>
            <w:gridSpan w:val="3"/>
            <w:shd w:val="clear" w:color="auto" w:fill="auto"/>
          </w:tcPr>
          <w:p w:rsidR="00DD79BD" w:rsidRPr="0094199D" w:rsidRDefault="00DD79BD" w:rsidP="00DD79BD">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1.1. Identifikátor produktu</w:t>
            </w:r>
          </w:p>
        </w:tc>
      </w:tr>
      <w:tr w:rsidR="00DD79BD" w:rsidRPr="0094199D"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94199D" w:rsidRDefault="00DD79BD" w:rsidP="00DD79BD">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4199D" w:rsidRDefault="00A17B3F" w:rsidP="00DB08E0">
            <w:pPr>
              <w:autoSpaceDE w:val="0"/>
              <w:autoSpaceDN w:val="0"/>
              <w:adjustRightInd w:val="0"/>
              <w:spacing w:after="0" w:line="240" w:lineRule="auto"/>
              <w:ind w:left="90"/>
              <w:rPr>
                <w:rFonts w:ascii="Arial" w:hAnsi="Arial" w:cs="Arial"/>
                <w:sz w:val="20"/>
                <w:szCs w:val="20"/>
              </w:rPr>
            </w:pPr>
            <w:proofErr w:type="spellStart"/>
            <w:r w:rsidRPr="0094199D">
              <w:rPr>
                <w:rFonts w:ascii="Arial" w:hAnsi="Arial" w:cs="Arial"/>
                <w:sz w:val="20"/>
                <w:szCs w:val="20"/>
              </w:rPr>
              <w:t>Cyklon</w:t>
            </w:r>
            <w:proofErr w:type="spellEnd"/>
            <w:r w:rsidRPr="0094199D">
              <w:rPr>
                <w:rFonts w:ascii="Arial" w:hAnsi="Arial" w:cs="Arial"/>
                <w:sz w:val="20"/>
                <w:szCs w:val="20"/>
              </w:rPr>
              <w:t xml:space="preserve"> Tekutý kov tužidlo</w:t>
            </w:r>
          </w:p>
        </w:tc>
      </w:tr>
      <w:tr w:rsidR="00AF72A9" w:rsidRPr="0094199D"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94199D" w:rsidRDefault="00AF72A9" w:rsidP="00352853">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 xml:space="preserve">UFI: </w:t>
            </w:r>
            <w:r w:rsidR="00352853" w:rsidRPr="0094199D">
              <w:rPr>
                <w:rFonts w:ascii="Arial" w:hAnsi="Arial" w:cs="Arial"/>
                <w:sz w:val="20"/>
                <w:szCs w:val="20"/>
              </w:rPr>
              <w:t xml:space="preserve"> </w:t>
            </w:r>
            <w:r w:rsidR="00A17B3F" w:rsidRPr="0094199D">
              <w:rPr>
                <w:rFonts w:ascii="Arial" w:hAnsi="Arial" w:cs="Arial"/>
                <w:sz w:val="20"/>
                <w:szCs w:val="20"/>
              </w:rPr>
              <w:t>8W10-5036-600R-DRGY</w:t>
            </w:r>
          </w:p>
        </w:tc>
      </w:tr>
      <w:tr w:rsidR="00DB08E0" w:rsidRPr="0094199D"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94199D" w:rsidRDefault="00DB08E0" w:rsidP="00DD79BD">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94199D" w:rsidRDefault="00A17B3F" w:rsidP="00DB08E0">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1906001</w:t>
            </w:r>
          </w:p>
        </w:tc>
      </w:tr>
      <w:tr w:rsidR="00DD79BD" w:rsidRPr="0094199D"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94199D" w:rsidRDefault="00DD79BD" w:rsidP="00DD79BD">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94199D" w:rsidRDefault="00DD79BD" w:rsidP="00DD79BD">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4199D" w:rsidRDefault="00A17B3F" w:rsidP="00AA266B">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Univerzálne použiteľný 2 zložkový tmel na rôzne opravy a použitia</w:t>
            </w:r>
          </w:p>
        </w:tc>
      </w:tr>
      <w:tr w:rsidR="00DD79BD" w:rsidRPr="0094199D"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94199D"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94199D" w:rsidRDefault="00DD79BD" w:rsidP="00DD79BD">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4199D" w:rsidRDefault="00DB08E0" w:rsidP="000C7D17">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Produkt nesmie byť používaný inými spôsobmi, než ktoré sú uvedené v oddiele 1.</w:t>
            </w:r>
          </w:p>
        </w:tc>
      </w:tr>
    </w:tbl>
    <w:p w:rsidR="00DD79BD" w:rsidRPr="0094199D"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94199D" w:rsidTr="00DD79BD">
        <w:tc>
          <w:tcPr>
            <w:tcW w:w="9072" w:type="dxa"/>
            <w:gridSpan w:val="2"/>
            <w:shd w:val="clear" w:color="auto" w:fill="auto"/>
          </w:tcPr>
          <w:p w:rsidR="00DD79BD" w:rsidRPr="0094199D" w:rsidRDefault="00DD79BD" w:rsidP="00DD79BD">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1.3. Údaje o dodávateľovi karty bezpečnostných údajov</w:t>
            </w:r>
          </w:p>
        </w:tc>
      </w:tr>
      <w:tr w:rsidR="009B2CD6" w:rsidRPr="0094199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B2CD6" w:rsidRPr="0094199D" w:rsidRDefault="009B2CD6" w:rsidP="009B2CD6">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B2CD6" w:rsidRDefault="009B2CD6" w:rsidP="009B2CD6">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GYNEX - CHEMALEX </w:t>
            </w:r>
            <w:proofErr w:type="spellStart"/>
            <w:r>
              <w:rPr>
                <w:rFonts w:ascii="Arial" w:hAnsi="Arial" w:cs="Arial"/>
                <w:sz w:val="20"/>
                <w:szCs w:val="20"/>
              </w:rPr>
              <w:t>s.r.o</w:t>
            </w:r>
            <w:proofErr w:type="spellEnd"/>
            <w:r>
              <w:rPr>
                <w:rFonts w:ascii="Arial" w:hAnsi="Arial" w:cs="Arial"/>
                <w:sz w:val="20"/>
                <w:szCs w:val="20"/>
              </w:rPr>
              <w:t>.</w:t>
            </w:r>
          </w:p>
        </w:tc>
      </w:tr>
      <w:tr w:rsidR="009B2CD6" w:rsidRPr="0094199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B2CD6" w:rsidRPr="0094199D" w:rsidRDefault="009B2CD6" w:rsidP="009B2CD6">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B2CD6" w:rsidRDefault="009B2CD6" w:rsidP="009B2CD6">
            <w:pPr>
              <w:autoSpaceDE w:val="0"/>
              <w:autoSpaceDN w:val="0"/>
              <w:adjustRightInd w:val="0"/>
              <w:spacing w:after="0" w:line="240" w:lineRule="auto"/>
              <w:ind w:left="90"/>
              <w:rPr>
                <w:rFonts w:ascii="Arial" w:hAnsi="Arial" w:cs="Arial"/>
                <w:sz w:val="20"/>
                <w:szCs w:val="20"/>
              </w:rPr>
            </w:pPr>
            <w:r>
              <w:rPr>
                <w:rFonts w:ascii="Arial" w:hAnsi="Arial" w:cs="Arial"/>
                <w:sz w:val="20"/>
                <w:szCs w:val="20"/>
              </w:rPr>
              <w:t>53456432</w:t>
            </w:r>
          </w:p>
        </w:tc>
      </w:tr>
      <w:tr w:rsidR="009B2CD6" w:rsidRPr="0094199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B2CD6" w:rsidRPr="0094199D" w:rsidRDefault="009B2CD6" w:rsidP="009B2CD6">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B2CD6" w:rsidRDefault="009B2CD6" w:rsidP="009B2CD6">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Na Lánoch 3298/10</w:t>
            </w:r>
          </w:p>
        </w:tc>
      </w:tr>
      <w:tr w:rsidR="009B2CD6" w:rsidRPr="0094199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B2CD6" w:rsidRPr="0094199D" w:rsidRDefault="009B2CD6" w:rsidP="009B2CD6">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B2CD6" w:rsidRDefault="009B2CD6" w:rsidP="009B2CD6">
            <w:pPr>
              <w:autoSpaceDE w:val="0"/>
              <w:autoSpaceDN w:val="0"/>
              <w:adjustRightInd w:val="0"/>
              <w:spacing w:after="0" w:line="240" w:lineRule="auto"/>
              <w:ind w:left="90"/>
              <w:rPr>
                <w:rFonts w:ascii="Arial" w:hAnsi="Arial" w:cs="Arial"/>
                <w:sz w:val="20"/>
                <w:szCs w:val="20"/>
              </w:rPr>
            </w:pPr>
            <w:r>
              <w:rPr>
                <w:rFonts w:ascii="Arial" w:hAnsi="Arial" w:cs="Arial"/>
                <w:sz w:val="20"/>
                <w:szCs w:val="20"/>
              </w:rPr>
              <w:t>821 04</w:t>
            </w:r>
          </w:p>
        </w:tc>
      </w:tr>
      <w:tr w:rsidR="009B2CD6" w:rsidRPr="0094199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B2CD6" w:rsidRPr="0094199D" w:rsidRDefault="009B2CD6" w:rsidP="009B2CD6">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B2CD6" w:rsidRDefault="009B2CD6" w:rsidP="009B2CD6">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Bratislava - mestská časť Ružinov</w:t>
            </w:r>
          </w:p>
        </w:tc>
      </w:tr>
      <w:tr w:rsidR="009B2CD6" w:rsidRPr="0094199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B2CD6" w:rsidRPr="0094199D" w:rsidRDefault="009B2CD6" w:rsidP="009B2CD6">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B2CD6" w:rsidRDefault="009B2CD6" w:rsidP="009B2CD6">
            <w:pPr>
              <w:autoSpaceDE w:val="0"/>
              <w:autoSpaceDN w:val="0"/>
              <w:adjustRightInd w:val="0"/>
              <w:spacing w:after="0" w:line="240" w:lineRule="auto"/>
              <w:ind w:left="90"/>
              <w:rPr>
                <w:rFonts w:ascii="Arial" w:hAnsi="Arial" w:cs="Arial"/>
                <w:sz w:val="20"/>
                <w:szCs w:val="20"/>
              </w:rPr>
            </w:pPr>
            <w:r>
              <w:rPr>
                <w:rFonts w:ascii="Arial" w:hAnsi="Arial" w:cs="Arial"/>
                <w:sz w:val="20"/>
                <w:szCs w:val="20"/>
              </w:rPr>
              <w:t>Slovenská republika</w:t>
            </w:r>
          </w:p>
        </w:tc>
      </w:tr>
      <w:tr w:rsidR="009B2CD6" w:rsidRPr="0094199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B2CD6" w:rsidRPr="0094199D" w:rsidRDefault="009B2CD6" w:rsidP="009B2CD6">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B2CD6" w:rsidRDefault="009B2CD6" w:rsidP="009B2CD6">
            <w:pPr>
              <w:autoSpaceDE w:val="0"/>
              <w:autoSpaceDN w:val="0"/>
              <w:adjustRightInd w:val="0"/>
              <w:spacing w:after="0" w:line="240" w:lineRule="auto"/>
              <w:ind w:left="90"/>
              <w:rPr>
                <w:rFonts w:ascii="Arial" w:hAnsi="Arial" w:cs="Arial"/>
                <w:sz w:val="20"/>
                <w:szCs w:val="20"/>
              </w:rPr>
            </w:pPr>
            <w:r>
              <w:rPr>
                <w:rFonts w:ascii="Arial" w:hAnsi="Arial" w:cs="Arial"/>
                <w:sz w:val="20"/>
                <w:szCs w:val="20"/>
              </w:rPr>
              <w:t>+412 905 568 121</w:t>
            </w:r>
          </w:p>
        </w:tc>
      </w:tr>
      <w:tr w:rsidR="009B2CD6" w:rsidRPr="0094199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B2CD6" w:rsidRPr="0094199D" w:rsidRDefault="009B2CD6" w:rsidP="009B2CD6">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B2CD6" w:rsidRDefault="009B2CD6" w:rsidP="009B2CD6">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gynexchemalex@gynexchemalex.sk</w:t>
            </w:r>
          </w:p>
        </w:tc>
      </w:tr>
      <w:tr w:rsidR="009B2CD6" w:rsidRPr="0094199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B2CD6" w:rsidRPr="0094199D" w:rsidRDefault="009B2CD6" w:rsidP="009B2CD6">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B2CD6" w:rsidRDefault="009B2CD6" w:rsidP="009B2CD6">
            <w:pPr>
              <w:autoSpaceDE w:val="0"/>
              <w:autoSpaceDN w:val="0"/>
              <w:adjustRightInd w:val="0"/>
              <w:spacing w:after="0" w:line="240" w:lineRule="auto"/>
              <w:ind w:left="90"/>
              <w:rPr>
                <w:rFonts w:ascii="Arial" w:hAnsi="Arial" w:cs="Arial"/>
                <w:sz w:val="20"/>
                <w:szCs w:val="20"/>
              </w:rPr>
            </w:pPr>
            <w:hyperlink r:id="rId7" w:history="1">
              <w:r>
                <w:rPr>
                  <w:rStyle w:val="Hypertextovprepojenie"/>
                  <w:rFonts w:ascii="Arial" w:hAnsi="Arial" w:cs="Arial"/>
                  <w:sz w:val="20"/>
                  <w:szCs w:val="20"/>
                </w:rPr>
                <w:t>gynexchemalex@gynexchemalex.sk</w:t>
              </w:r>
            </w:hyperlink>
          </w:p>
        </w:tc>
      </w:tr>
    </w:tbl>
    <w:p w:rsidR="00DD79BD" w:rsidRPr="0094199D"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9419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4199D" w:rsidRDefault="00DD79BD" w:rsidP="00DD79BD">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94199D" w:rsidRDefault="00DB08E0" w:rsidP="00DB08E0">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NÁRODNÉ TOXIKOLOGICKÉ INFORMAČNÉ CENTRUM</w:t>
            </w:r>
          </w:p>
          <w:p w:rsidR="00DB08E0" w:rsidRPr="0094199D" w:rsidRDefault="00DB08E0" w:rsidP="00DB08E0">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 xml:space="preserve">Univerzitná nemocnica Bratislava, pracovisko </w:t>
            </w:r>
            <w:proofErr w:type="spellStart"/>
            <w:r w:rsidRPr="0094199D">
              <w:rPr>
                <w:rFonts w:ascii="Arial" w:hAnsi="Arial" w:cs="Arial"/>
                <w:sz w:val="20"/>
                <w:szCs w:val="20"/>
              </w:rPr>
              <w:t>Kramáre</w:t>
            </w:r>
            <w:proofErr w:type="spellEnd"/>
            <w:r w:rsidRPr="0094199D">
              <w:rPr>
                <w:rFonts w:ascii="Arial" w:hAnsi="Arial" w:cs="Arial"/>
                <w:sz w:val="20"/>
                <w:szCs w:val="20"/>
              </w:rPr>
              <w:t xml:space="preserve"> </w:t>
            </w:r>
          </w:p>
          <w:p w:rsidR="00DB08E0" w:rsidRPr="0094199D" w:rsidRDefault="00DB08E0" w:rsidP="00DB08E0">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 xml:space="preserve">Klinika pracovného lekárstva a </w:t>
            </w:r>
            <w:proofErr w:type="spellStart"/>
            <w:r w:rsidRPr="0094199D">
              <w:rPr>
                <w:rFonts w:ascii="Arial" w:hAnsi="Arial" w:cs="Arial"/>
                <w:sz w:val="20"/>
                <w:szCs w:val="20"/>
              </w:rPr>
              <w:t>toxikológie</w:t>
            </w:r>
            <w:proofErr w:type="spellEnd"/>
            <w:r w:rsidRPr="0094199D">
              <w:rPr>
                <w:rFonts w:ascii="Arial" w:hAnsi="Arial" w:cs="Arial"/>
                <w:sz w:val="20"/>
                <w:szCs w:val="20"/>
              </w:rPr>
              <w:t xml:space="preserve"> </w:t>
            </w:r>
          </w:p>
          <w:p w:rsidR="00DB08E0" w:rsidRPr="0094199D" w:rsidRDefault="00DB08E0" w:rsidP="00DB08E0">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Limbová 5</w:t>
            </w:r>
            <w:r w:rsidR="00577862" w:rsidRPr="0094199D">
              <w:rPr>
                <w:rFonts w:ascii="Arial" w:hAnsi="Arial" w:cs="Arial"/>
                <w:sz w:val="20"/>
                <w:szCs w:val="20"/>
              </w:rPr>
              <w:t xml:space="preserve">, </w:t>
            </w:r>
            <w:r w:rsidRPr="0094199D">
              <w:rPr>
                <w:rFonts w:ascii="Arial" w:hAnsi="Arial" w:cs="Arial"/>
                <w:sz w:val="20"/>
                <w:szCs w:val="20"/>
              </w:rPr>
              <w:t xml:space="preserve">833 05 Bratislava </w:t>
            </w:r>
          </w:p>
          <w:p w:rsidR="00DB08E0" w:rsidRPr="0094199D" w:rsidRDefault="00DB08E0" w:rsidP="00DB08E0">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 xml:space="preserve">telefón: +421 2 54 774 166 </w:t>
            </w:r>
          </w:p>
          <w:p w:rsidR="00DB08E0" w:rsidRPr="0094199D" w:rsidRDefault="00DB08E0" w:rsidP="00DB08E0">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 xml:space="preserve">mobil: +421 911 166 066, fax: +421 2 547 74 605 </w:t>
            </w:r>
          </w:p>
          <w:p w:rsidR="00DD79BD" w:rsidRPr="0094199D" w:rsidRDefault="00DB08E0" w:rsidP="00DB08E0">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e-mail: ntic@ntic.sk.</w:t>
            </w:r>
          </w:p>
        </w:tc>
      </w:tr>
    </w:tbl>
    <w:p w:rsidR="00DD79BD" w:rsidRPr="0094199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4199D" w:rsidTr="00DD79BD">
        <w:tc>
          <w:tcPr>
            <w:tcW w:w="9072" w:type="dxa"/>
            <w:shd w:val="clear" w:color="auto" w:fill="FFFF00"/>
          </w:tcPr>
          <w:p w:rsidR="00DD79BD" w:rsidRPr="0094199D" w:rsidRDefault="00DD79BD" w:rsidP="00DD79BD">
            <w:pPr>
              <w:autoSpaceDE w:val="0"/>
              <w:autoSpaceDN w:val="0"/>
              <w:adjustRightInd w:val="0"/>
              <w:spacing w:after="0" w:line="240" w:lineRule="auto"/>
              <w:ind w:left="150"/>
              <w:rPr>
                <w:rFonts w:ascii="Arial" w:hAnsi="Arial" w:cs="Arial"/>
                <w:sz w:val="20"/>
                <w:szCs w:val="20"/>
              </w:rPr>
            </w:pPr>
            <w:r w:rsidRPr="0094199D">
              <w:rPr>
                <w:rFonts w:ascii="Arial" w:hAnsi="Arial" w:cs="Arial"/>
                <w:b/>
                <w:bCs/>
                <w:sz w:val="20"/>
                <w:szCs w:val="20"/>
              </w:rPr>
              <w:t>ODDIEL 2: Identifikácia nebezpečnosti</w:t>
            </w:r>
          </w:p>
        </w:tc>
      </w:tr>
    </w:tbl>
    <w:p w:rsidR="00DD79BD" w:rsidRPr="0094199D"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9419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4199D" w:rsidRDefault="00DD79BD" w:rsidP="00DD79BD">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4199D" w:rsidRDefault="00DD79BD" w:rsidP="00DD79BD">
            <w:pPr>
              <w:autoSpaceDE w:val="0"/>
              <w:autoSpaceDN w:val="0"/>
              <w:adjustRightInd w:val="0"/>
              <w:spacing w:after="0" w:line="240" w:lineRule="auto"/>
              <w:rPr>
                <w:rFonts w:ascii="Arial" w:hAnsi="Arial" w:cs="Arial"/>
                <w:sz w:val="20"/>
                <w:szCs w:val="20"/>
              </w:rPr>
            </w:pPr>
            <w:r w:rsidRPr="0094199D">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94199D"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94199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4199D" w:rsidRDefault="004C5630" w:rsidP="00667996">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17B3F" w:rsidRPr="0094199D" w:rsidRDefault="00A17B3F" w:rsidP="00A17B3F">
            <w:pPr>
              <w:autoSpaceDE w:val="0"/>
              <w:autoSpaceDN w:val="0"/>
              <w:adjustRightInd w:val="0"/>
              <w:spacing w:after="0" w:line="240" w:lineRule="auto"/>
              <w:rPr>
                <w:rFonts w:ascii="Arial" w:hAnsi="Arial" w:cs="Arial"/>
                <w:sz w:val="20"/>
                <w:szCs w:val="20"/>
              </w:rPr>
            </w:pPr>
            <w:r w:rsidRPr="0094199D">
              <w:rPr>
                <w:rFonts w:ascii="Arial" w:hAnsi="Arial" w:cs="Arial"/>
                <w:sz w:val="20"/>
                <w:szCs w:val="20"/>
              </w:rPr>
              <w:t>Žieravosť/dráždivosť kože  - Skin Corr. 1B, H314</w:t>
            </w:r>
          </w:p>
          <w:p w:rsidR="00A17B3F" w:rsidRPr="0094199D" w:rsidRDefault="00A17B3F" w:rsidP="00A17B3F">
            <w:pPr>
              <w:autoSpaceDE w:val="0"/>
              <w:autoSpaceDN w:val="0"/>
              <w:adjustRightInd w:val="0"/>
              <w:spacing w:after="0" w:line="240" w:lineRule="auto"/>
              <w:rPr>
                <w:rFonts w:ascii="Arial" w:hAnsi="Arial" w:cs="Arial"/>
                <w:sz w:val="20"/>
                <w:szCs w:val="20"/>
              </w:rPr>
            </w:pPr>
            <w:r w:rsidRPr="0094199D">
              <w:rPr>
                <w:rFonts w:ascii="Arial" w:hAnsi="Arial" w:cs="Arial"/>
                <w:sz w:val="20"/>
                <w:szCs w:val="20"/>
              </w:rPr>
              <w:t>Respiračná/kožná senzibilizácia - Kožná senz. 1 - Skin Sens. 1, H317</w:t>
            </w:r>
          </w:p>
          <w:p w:rsidR="00352853" w:rsidRPr="0094199D" w:rsidRDefault="00A17B3F" w:rsidP="00A17B3F">
            <w:pPr>
              <w:autoSpaceDE w:val="0"/>
              <w:autoSpaceDN w:val="0"/>
              <w:adjustRightInd w:val="0"/>
              <w:spacing w:after="0" w:line="240" w:lineRule="auto"/>
              <w:rPr>
                <w:rFonts w:ascii="Arial" w:hAnsi="Arial" w:cs="Arial"/>
                <w:sz w:val="20"/>
                <w:szCs w:val="20"/>
              </w:rPr>
            </w:pPr>
            <w:r w:rsidRPr="0094199D">
              <w:rPr>
                <w:rFonts w:ascii="Arial" w:hAnsi="Arial" w:cs="Arial"/>
                <w:sz w:val="20"/>
                <w:szCs w:val="20"/>
              </w:rPr>
              <w:t>Vážne poškodenie očí/podráždenie očí  - Eye Dam. 1, H318</w:t>
            </w:r>
          </w:p>
          <w:p w:rsidR="00EB5977" w:rsidRPr="0094199D" w:rsidRDefault="00EB5977" w:rsidP="00EB5977">
            <w:pPr>
              <w:autoSpaceDE w:val="0"/>
              <w:autoSpaceDN w:val="0"/>
              <w:adjustRightInd w:val="0"/>
              <w:spacing w:after="0" w:line="240" w:lineRule="auto"/>
              <w:rPr>
                <w:rFonts w:ascii="Arial" w:hAnsi="Arial" w:cs="Arial"/>
                <w:sz w:val="20"/>
                <w:szCs w:val="20"/>
              </w:rPr>
            </w:pPr>
          </w:p>
          <w:p w:rsidR="004C5630" w:rsidRPr="0094199D" w:rsidRDefault="004C5630" w:rsidP="00667996">
            <w:pPr>
              <w:autoSpaceDE w:val="0"/>
              <w:autoSpaceDN w:val="0"/>
              <w:adjustRightInd w:val="0"/>
              <w:spacing w:after="0" w:line="240" w:lineRule="auto"/>
              <w:rPr>
                <w:rFonts w:ascii="Arial" w:hAnsi="Arial" w:cs="Arial"/>
                <w:b/>
                <w:sz w:val="20"/>
                <w:szCs w:val="20"/>
              </w:rPr>
            </w:pPr>
            <w:r w:rsidRPr="0094199D">
              <w:rPr>
                <w:rFonts w:ascii="Arial" w:hAnsi="Arial" w:cs="Arial"/>
                <w:b/>
                <w:sz w:val="20"/>
                <w:szCs w:val="20"/>
              </w:rPr>
              <w:t xml:space="preserve">Najvýznamnejšie nepriaznivé účinky na ľudské zdravie a na životné prostredie </w:t>
            </w:r>
          </w:p>
          <w:p w:rsidR="00F85253" w:rsidRDefault="00A17B3F" w:rsidP="00A17B3F">
            <w:pPr>
              <w:autoSpaceDE w:val="0"/>
              <w:autoSpaceDN w:val="0"/>
              <w:adjustRightInd w:val="0"/>
              <w:spacing w:after="0" w:line="240" w:lineRule="auto"/>
              <w:rPr>
                <w:rFonts w:ascii="Arial" w:hAnsi="Arial" w:cs="Arial"/>
                <w:sz w:val="20"/>
                <w:szCs w:val="20"/>
              </w:rPr>
            </w:pPr>
            <w:r w:rsidRPr="0094199D">
              <w:rPr>
                <w:rFonts w:ascii="Arial" w:hAnsi="Arial" w:cs="Arial"/>
                <w:sz w:val="20"/>
                <w:szCs w:val="20"/>
              </w:rPr>
              <w:t xml:space="preserve">Spôsobuje vážne poleptanie kože a poškodenie očí. Môže vyvolať alergickú kožnú reakciu. Spôsobuje vážne poškodenie očí. </w:t>
            </w:r>
          </w:p>
          <w:p w:rsidR="0094199D" w:rsidRDefault="0094199D" w:rsidP="00A17B3F">
            <w:pPr>
              <w:autoSpaceDE w:val="0"/>
              <w:autoSpaceDN w:val="0"/>
              <w:adjustRightInd w:val="0"/>
              <w:spacing w:after="0" w:line="240" w:lineRule="auto"/>
              <w:rPr>
                <w:rFonts w:ascii="Arial" w:hAnsi="Arial" w:cs="Arial"/>
                <w:sz w:val="20"/>
                <w:szCs w:val="20"/>
              </w:rPr>
            </w:pPr>
          </w:p>
          <w:p w:rsidR="0094199D" w:rsidRDefault="0094199D" w:rsidP="00A17B3F">
            <w:pPr>
              <w:autoSpaceDE w:val="0"/>
              <w:autoSpaceDN w:val="0"/>
              <w:adjustRightInd w:val="0"/>
              <w:spacing w:after="0" w:line="240" w:lineRule="auto"/>
              <w:rPr>
                <w:rFonts w:ascii="Arial" w:hAnsi="Arial" w:cs="Arial"/>
                <w:sz w:val="20"/>
                <w:szCs w:val="20"/>
              </w:rPr>
            </w:pPr>
          </w:p>
          <w:p w:rsidR="0094199D" w:rsidRDefault="0094199D" w:rsidP="00A17B3F">
            <w:pPr>
              <w:autoSpaceDE w:val="0"/>
              <w:autoSpaceDN w:val="0"/>
              <w:adjustRightInd w:val="0"/>
              <w:spacing w:after="0" w:line="240" w:lineRule="auto"/>
              <w:rPr>
                <w:rFonts w:ascii="Arial" w:hAnsi="Arial" w:cs="Arial"/>
                <w:sz w:val="20"/>
                <w:szCs w:val="20"/>
              </w:rPr>
            </w:pPr>
          </w:p>
          <w:p w:rsidR="0094199D" w:rsidRDefault="0094199D" w:rsidP="00A17B3F">
            <w:pPr>
              <w:autoSpaceDE w:val="0"/>
              <w:autoSpaceDN w:val="0"/>
              <w:adjustRightInd w:val="0"/>
              <w:spacing w:after="0" w:line="240" w:lineRule="auto"/>
              <w:rPr>
                <w:rFonts w:ascii="Arial" w:hAnsi="Arial" w:cs="Arial"/>
                <w:sz w:val="20"/>
                <w:szCs w:val="20"/>
              </w:rPr>
            </w:pPr>
          </w:p>
          <w:p w:rsidR="0094199D" w:rsidRPr="0094199D" w:rsidRDefault="0094199D" w:rsidP="00A17B3F">
            <w:pPr>
              <w:autoSpaceDE w:val="0"/>
              <w:autoSpaceDN w:val="0"/>
              <w:adjustRightInd w:val="0"/>
              <w:spacing w:after="0" w:line="240" w:lineRule="auto"/>
              <w:rPr>
                <w:rFonts w:ascii="Arial" w:hAnsi="Arial" w:cs="Arial"/>
                <w:sz w:val="20"/>
                <w:szCs w:val="20"/>
              </w:rPr>
            </w:pPr>
          </w:p>
        </w:tc>
      </w:tr>
      <w:tr w:rsidR="004C5630" w:rsidRPr="0094199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4199D" w:rsidRDefault="004C5630" w:rsidP="00667996">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4199D" w:rsidRDefault="004C5630" w:rsidP="00667996">
            <w:pPr>
              <w:spacing w:after="0"/>
              <w:rPr>
                <w:rFonts w:ascii="Arial" w:hAnsi="Arial" w:cs="Arial"/>
                <w:sz w:val="20"/>
                <w:szCs w:val="20"/>
              </w:rPr>
            </w:pPr>
          </w:p>
        </w:tc>
      </w:tr>
      <w:tr w:rsidR="004C5630" w:rsidRPr="0094199D"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4199D" w:rsidRDefault="004C5630" w:rsidP="00667996">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4199D" w:rsidRDefault="00EB5977" w:rsidP="00667996">
            <w:pPr>
              <w:autoSpaceDE w:val="0"/>
              <w:autoSpaceDN w:val="0"/>
              <w:adjustRightInd w:val="0"/>
              <w:spacing w:after="0" w:line="240" w:lineRule="auto"/>
              <w:rPr>
                <w:rFonts w:ascii="Arial" w:hAnsi="Arial" w:cs="Arial"/>
                <w:sz w:val="20"/>
                <w:szCs w:val="20"/>
              </w:rPr>
            </w:pPr>
            <w:r w:rsidRPr="0094199D">
              <w:rPr>
                <w:rFonts w:ascii="Arial" w:hAnsi="Arial" w:cs="Arial"/>
                <w:noProof/>
                <w:sz w:val="20"/>
                <w:szCs w:val="20"/>
                <w:lang w:eastAsia="sk-SK"/>
              </w:rPr>
              <w:drawing>
                <wp:inline distT="0" distB="0" distL="0" distR="0">
                  <wp:extent cx="683895" cy="691515"/>
                  <wp:effectExtent l="0" t="0" r="190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4C5630" w:rsidRPr="0094199D">
              <w:rPr>
                <w:rFonts w:ascii="Arial" w:hAnsi="Arial" w:cs="Arial"/>
                <w:noProof/>
                <w:sz w:val="20"/>
                <w:szCs w:val="20"/>
                <w:lang w:eastAsia="sk-SK"/>
              </w:rPr>
              <w:drawing>
                <wp:inline distT="0" distB="0" distL="0" distR="0" wp14:anchorId="52742E5D" wp14:editId="4E23811F">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352853" w:rsidRPr="0094199D">
              <w:rPr>
                <w:rFonts w:ascii="Arial" w:hAnsi="Arial" w:cs="Arial"/>
                <w:sz w:val="20"/>
                <w:szCs w:val="20"/>
              </w:rPr>
              <w:t xml:space="preserve"> </w:t>
            </w:r>
          </w:p>
        </w:tc>
      </w:tr>
      <w:tr w:rsidR="004C5630" w:rsidRPr="0094199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4199D" w:rsidRDefault="004C5630" w:rsidP="00667996">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4199D" w:rsidRDefault="00EB5977" w:rsidP="00667996">
            <w:pPr>
              <w:autoSpaceDE w:val="0"/>
              <w:autoSpaceDN w:val="0"/>
              <w:adjustRightInd w:val="0"/>
              <w:spacing w:after="0" w:line="240" w:lineRule="auto"/>
              <w:rPr>
                <w:rFonts w:ascii="Arial" w:hAnsi="Arial" w:cs="Arial"/>
                <w:sz w:val="20"/>
                <w:szCs w:val="20"/>
              </w:rPr>
            </w:pPr>
            <w:r w:rsidRPr="0094199D">
              <w:rPr>
                <w:rFonts w:ascii="Arial" w:hAnsi="Arial" w:cs="Arial"/>
                <w:sz w:val="20"/>
                <w:szCs w:val="20"/>
              </w:rPr>
              <w:t>Nebezpečenstvo</w:t>
            </w:r>
          </w:p>
        </w:tc>
      </w:tr>
      <w:tr w:rsidR="004C5630" w:rsidRPr="0094199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4199D" w:rsidRDefault="004C5630" w:rsidP="00667996">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17B3F" w:rsidRPr="0094199D" w:rsidRDefault="00A17B3F" w:rsidP="00A17B3F">
            <w:pPr>
              <w:autoSpaceDE w:val="0"/>
              <w:autoSpaceDN w:val="0"/>
              <w:adjustRightInd w:val="0"/>
              <w:spacing w:after="0" w:line="240" w:lineRule="auto"/>
              <w:rPr>
                <w:rFonts w:ascii="Arial" w:hAnsi="Arial" w:cs="Arial"/>
                <w:sz w:val="20"/>
                <w:szCs w:val="20"/>
              </w:rPr>
            </w:pPr>
            <w:r w:rsidRPr="0094199D">
              <w:rPr>
                <w:rFonts w:ascii="Arial" w:hAnsi="Arial" w:cs="Arial"/>
                <w:sz w:val="20"/>
                <w:szCs w:val="20"/>
              </w:rPr>
              <w:t>H314 Spôsobuje vážne poleptanie kože a poškodenie očí.</w:t>
            </w:r>
          </w:p>
          <w:p w:rsidR="004C5630" w:rsidRPr="0094199D" w:rsidRDefault="00A17B3F" w:rsidP="00A17B3F">
            <w:pPr>
              <w:autoSpaceDE w:val="0"/>
              <w:autoSpaceDN w:val="0"/>
              <w:adjustRightInd w:val="0"/>
              <w:spacing w:after="0" w:line="240" w:lineRule="auto"/>
              <w:rPr>
                <w:rFonts w:ascii="Arial" w:hAnsi="Arial" w:cs="Arial"/>
                <w:sz w:val="20"/>
                <w:szCs w:val="20"/>
              </w:rPr>
            </w:pPr>
            <w:r w:rsidRPr="0094199D">
              <w:rPr>
                <w:rFonts w:ascii="Arial" w:hAnsi="Arial" w:cs="Arial"/>
                <w:sz w:val="20"/>
                <w:szCs w:val="20"/>
              </w:rPr>
              <w:t>H317 Môže vyvolať alergickú kožnú reakciu.</w:t>
            </w:r>
          </w:p>
        </w:tc>
      </w:tr>
      <w:tr w:rsidR="004C5630" w:rsidRPr="0094199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4199D" w:rsidRDefault="004C5630" w:rsidP="00667996">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17B3F" w:rsidRPr="0094199D" w:rsidRDefault="00A17B3F" w:rsidP="00667996">
            <w:pPr>
              <w:autoSpaceDE w:val="0"/>
              <w:autoSpaceDN w:val="0"/>
              <w:adjustRightInd w:val="0"/>
              <w:spacing w:after="0" w:line="240" w:lineRule="auto"/>
              <w:rPr>
                <w:rFonts w:ascii="Arial" w:hAnsi="Arial" w:cs="Arial"/>
                <w:sz w:val="20"/>
                <w:szCs w:val="20"/>
              </w:rPr>
            </w:pPr>
            <w:r w:rsidRPr="0094199D">
              <w:rPr>
                <w:rFonts w:ascii="Arial" w:hAnsi="Arial" w:cs="Arial"/>
                <w:sz w:val="20"/>
                <w:szCs w:val="20"/>
              </w:rPr>
              <w:t>P101 Ak je potrebná lekárska pomoc, majte k dispozícii obal alebo etiketu výrobku.</w:t>
            </w:r>
          </w:p>
          <w:p w:rsidR="00EB5977" w:rsidRPr="0094199D" w:rsidRDefault="00EB5977" w:rsidP="00667996">
            <w:pPr>
              <w:autoSpaceDE w:val="0"/>
              <w:autoSpaceDN w:val="0"/>
              <w:adjustRightInd w:val="0"/>
              <w:spacing w:after="0" w:line="240" w:lineRule="auto"/>
              <w:rPr>
                <w:rFonts w:ascii="Arial" w:hAnsi="Arial" w:cs="Arial"/>
                <w:sz w:val="20"/>
                <w:szCs w:val="20"/>
              </w:rPr>
            </w:pPr>
            <w:r w:rsidRPr="0094199D">
              <w:rPr>
                <w:rFonts w:ascii="Arial" w:hAnsi="Arial" w:cs="Arial"/>
                <w:sz w:val="20"/>
                <w:szCs w:val="20"/>
              </w:rPr>
              <w:t xml:space="preserve">P102 Uchovávajte mimo dosahu detí. </w:t>
            </w:r>
          </w:p>
          <w:p w:rsidR="004C5630" w:rsidRPr="0094199D" w:rsidRDefault="00EB5977" w:rsidP="00667996">
            <w:pPr>
              <w:autoSpaceDE w:val="0"/>
              <w:autoSpaceDN w:val="0"/>
              <w:adjustRightInd w:val="0"/>
              <w:spacing w:after="0" w:line="240" w:lineRule="auto"/>
              <w:rPr>
                <w:rFonts w:ascii="Arial" w:hAnsi="Arial" w:cs="Arial"/>
                <w:sz w:val="20"/>
                <w:szCs w:val="20"/>
              </w:rPr>
            </w:pPr>
            <w:r w:rsidRPr="0094199D">
              <w:rPr>
                <w:rFonts w:ascii="Arial" w:hAnsi="Arial" w:cs="Arial"/>
                <w:sz w:val="20"/>
                <w:szCs w:val="20"/>
              </w:rPr>
              <w:t>P280 Noste ochranné rukavice/ochranný odev/ochranné okuliare/ochranu tváre.</w:t>
            </w:r>
          </w:p>
        </w:tc>
      </w:tr>
      <w:tr w:rsidR="004C5630" w:rsidRPr="0094199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4199D" w:rsidRDefault="004C5630" w:rsidP="00667996">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 xml:space="preserve">Bezpečnostné upozornenia </w:t>
            </w:r>
            <w:r w:rsidR="00EB5977" w:rsidRPr="0094199D">
              <w:rPr>
                <w:rFonts w:ascii="Arial" w:hAnsi="Arial" w:cs="Arial"/>
                <w:sz w:val="20"/>
                <w:szCs w:val="20"/>
              </w:rPr>
              <w:t>–</w:t>
            </w:r>
            <w:r w:rsidRPr="0094199D">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B5977" w:rsidRPr="0094199D" w:rsidRDefault="00EB5977" w:rsidP="00667996">
            <w:pPr>
              <w:autoSpaceDE w:val="0"/>
              <w:autoSpaceDN w:val="0"/>
              <w:adjustRightInd w:val="0"/>
              <w:spacing w:after="0" w:line="240" w:lineRule="auto"/>
              <w:rPr>
                <w:rFonts w:ascii="Arial" w:hAnsi="Arial" w:cs="Arial"/>
                <w:sz w:val="20"/>
                <w:szCs w:val="20"/>
              </w:rPr>
            </w:pPr>
            <w:r w:rsidRPr="0094199D">
              <w:rPr>
                <w:rFonts w:ascii="Arial" w:hAnsi="Arial" w:cs="Arial"/>
                <w:sz w:val="20"/>
                <w:szCs w:val="20"/>
              </w:rPr>
              <w:t xml:space="preserve">P301+P330+P331 PO POŽITÍ: vypláchnite ústa. NEVYVOLÁVAJTE zvracanie. </w:t>
            </w:r>
          </w:p>
          <w:p w:rsidR="00EB5977" w:rsidRPr="0094199D" w:rsidRDefault="00EB5977" w:rsidP="00667996">
            <w:pPr>
              <w:autoSpaceDE w:val="0"/>
              <w:autoSpaceDN w:val="0"/>
              <w:adjustRightInd w:val="0"/>
              <w:spacing w:after="0" w:line="240" w:lineRule="auto"/>
              <w:rPr>
                <w:rFonts w:ascii="Arial" w:hAnsi="Arial" w:cs="Arial"/>
                <w:sz w:val="20"/>
                <w:szCs w:val="20"/>
              </w:rPr>
            </w:pPr>
            <w:r w:rsidRPr="0094199D">
              <w:rPr>
                <w:rFonts w:ascii="Arial" w:hAnsi="Arial" w:cs="Arial"/>
                <w:sz w:val="20"/>
                <w:szCs w:val="20"/>
              </w:rPr>
              <w:t xml:space="preserve">P303+P361+P353 PRI KONTAKTE S POKOŽKOU (alebo vlasmi): Vyzlečte všetky kontaminované časti odevu. Pokožku ihneď opláchnite vodou alebo sprchou. </w:t>
            </w:r>
          </w:p>
          <w:p w:rsidR="00EB5977" w:rsidRPr="0094199D" w:rsidRDefault="00EB5977" w:rsidP="00667996">
            <w:pPr>
              <w:autoSpaceDE w:val="0"/>
              <w:autoSpaceDN w:val="0"/>
              <w:adjustRightInd w:val="0"/>
              <w:spacing w:after="0" w:line="240" w:lineRule="auto"/>
              <w:rPr>
                <w:rFonts w:ascii="Arial" w:hAnsi="Arial" w:cs="Arial"/>
                <w:sz w:val="20"/>
                <w:szCs w:val="20"/>
              </w:rPr>
            </w:pPr>
            <w:r w:rsidRPr="0094199D">
              <w:rPr>
                <w:rFonts w:ascii="Arial" w:hAnsi="Arial" w:cs="Arial"/>
                <w:sz w:val="20"/>
                <w:szCs w:val="20"/>
              </w:rPr>
              <w:t xml:space="preserve">P305+P351+P338 PO ZASIAHNUTÍ OČÍ: Niekoľko minút ich opatrne vyplachujte vodou. Ak používate kontaktné šošovky a je to možné, odstráňte ich. Pokračujte vo vyplachovaní. </w:t>
            </w:r>
          </w:p>
          <w:p w:rsidR="004C5630" w:rsidRPr="0094199D" w:rsidRDefault="00EB5977" w:rsidP="00667996">
            <w:pPr>
              <w:autoSpaceDE w:val="0"/>
              <w:autoSpaceDN w:val="0"/>
              <w:adjustRightInd w:val="0"/>
              <w:spacing w:after="0" w:line="240" w:lineRule="auto"/>
              <w:rPr>
                <w:rFonts w:ascii="Arial" w:hAnsi="Arial" w:cs="Arial"/>
                <w:sz w:val="20"/>
                <w:szCs w:val="20"/>
              </w:rPr>
            </w:pPr>
            <w:r w:rsidRPr="0094199D">
              <w:rPr>
                <w:rFonts w:ascii="Arial" w:hAnsi="Arial" w:cs="Arial"/>
                <w:sz w:val="20"/>
                <w:szCs w:val="20"/>
              </w:rPr>
              <w:t>P310 Okamžite volajte lekára.</w:t>
            </w:r>
          </w:p>
        </w:tc>
      </w:tr>
      <w:tr w:rsidR="00EB5977" w:rsidRPr="0094199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EB5977" w:rsidRPr="0094199D" w:rsidRDefault="001C6928" w:rsidP="00667996">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B5977" w:rsidRPr="0094199D" w:rsidRDefault="001C6928" w:rsidP="00667996">
            <w:pPr>
              <w:autoSpaceDE w:val="0"/>
              <w:autoSpaceDN w:val="0"/>
              <w:adjustRightInd w:val="0"/>
              <w:spacing w:after="0" w:line="240" w:lineRule="auto"/>
              <w:rPr>
                <w:rFonts w:ascii="Arial" w:hAnsi="Arial" w:cs="Arial"/>
                <w:sz w:val="20"/>
                <w:szCs w:val="20"/>
              </w:rPr>
            </w:pPr>
            <w:r w:rsidRPr="0094199D">
              <w:rPr>
                <w:rFonts w:ascii="Arial" w:hAnsi="Arial" w:cs="Arial"/>
                <w:sz w:val="20"/>
                <w:szCs w:val="20"/>
              </w:rPr>
              <w:t>P501 Zneškodnite obsah/nádobu odovzdaním osobe oprávnenej pre nakladanie s odpadmi alebo vrátením dodávateľovi.</w:t>
            </w:r>
          </w:p>
        </w:tc>
      </w:tr>
    </w:tbl>
    <w:p w:rsidR="004C5630" w:rsidRPr="0094199D" w:rsidRDefault="004C5630" w:rsidP="004C5630">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9072"/>
      </w:tblGrid>
      <w:tr w:rsidR="004C5630" w:rsidRPr="0094199D" w:rsidTr="00667996">
        <w:tc>
          <w:tcPr>
            <w:tcW w:w="9072" w:type="dxa"/>
            <w:tcBorders>
              <w:top w:val="single" w:sz="4" w:space="0" w:color="auto"/>
              <w:left w:val="single" w:sz="4" w:space="0" w:color="auto"/>
              <w:bottom w:val="single" w:sz="4" w:space="0" w:color="auto"/>
              <w:right w:val="single" w:sz="4" w:space="0" w:color="auto"/>
            </w:tcBorders>
            <w:shd w:val="clear" w:color="auto" w:fill="auto"/>
          </w:tcPr>
          <w:p w:rsidR="004C5630" w:rsidRPr="0094199D" w:rsidRDefault="004C5630" w:rsidP="00667996">
            <w:pPr>
              <w:autoSpaceDE w:val="0"/>
              <w:autoSpaceDN w:val="0"/>
              <w:adjustRightInd w:val="0"/>
              <w:spacing w:after="0" w:line="240" w:lineRule="auto"/>
              <w:rPr>
                <w:rFonts w:ascii="Arial" w:hAnsi="Arial" w:cs="Arial"/>
                <w:sz w:val="20"/>
                <w:szCs w:val="20"/>
              </w:rPr>
            </w:pPr>
            <w:r w:rsidRPr="0094199D">
              <w:rPr>
                <w:rFonts w:ascii="Arial" w:hAnsi="Arial" w:cs="Arial"/>
                <w:sz w:val="20"/>
                <w:szCs w:val="20"/>
              </w:rPr>
              <w:t xml:space="preserve">Obsahuje  </w:t>
            </w:r>
            <w:proofErr w:type="spellStart"/>
            <w:r w:rsidR="00A17B3F" w:rsidRPr="0094199D">
              <w:rPr>
                <w:rFonts w:ascii="Arial" w:hAnsi="Arial" w:cs="Arial"/>
                <w:sz w:val="20"/>
                <w:szCs w:val="20"/>
              </w:rPr>
              <w:t>trietyléntetramín</w:t>
            </w:r>
            <w:proofErr w:type="spellEnd"/>
            <w:r w:rsidR="00A17B3F" w:rsidRPr="0094199D">
              <w:rPr>
                <w:rFonts w:ascii="Arial" w:hAnsi="Arial" w:cs="Arial"/>
                <w:sz w:val="20"/>
                <w:szCs w:val="20"/>
              </w:rPr>
              <w:t xml:space="preserve"> (3-aminopropyl) tri(</w:t>
            </w:r>
            <w:proofErr w:type="spellStart"/>
            <w:r w:rsidR="00A17B3F" w:rsidRPr="0094199D">
              <w:rPr>
                <w:rFonts w:ascii="Arial" w:hAnsi="Arial" w:cs="Arial"/>
                <w:sz w:val="20"/>
                <w:szCs w:val="20"/>
              </w:rPr>
              <w:t>etoxy</w:t>
            </w:r>
            <w:proofErr w:type="spellEnd"/>
            <w:r w:rsidR="00A17B3F" w:rsidRPr="0094199D">
              <w:rPr>
                <w:rFonts w:ascii="Arial" w:hAnsi="Arial" w:cs="Arial"/>
                <w:sz w:val="20"/>
                <w:szCs w:val="20"/>
              </w:rPr>
              <w:t xml:space="preserve">) </w:t>
            </w:r>
            <w:proofErr w:type="spellStart"/>
            <w:r w:rsidR="00A17B3F" w:rsidRPr="0094199D">
              <w:rPr>
                <w:rFonts w:ascii="Arial" w:hAnsi="Arial" w:cs="Arial"/>
                <w:sz w:val="20"/>
                <w:szCs w:val="20"/>
              </w:rPr>
              <w:t>silán</w:t>
            </w:r>
            <w:proofErr w:type="spellEnd"/>
          </w:p>
          <w:p w:rsidR="001C6928" w:rsidRPr="0094199D" w:rsidRDefault="001C6928" w:rsidP="00667996">
            <w:pPr>
              <w:autoSpaceDE w:val="0"/>
              <w:autoSpaceDN w:val="0"/>
              <w:adjustRightInd w:val="0"/>
              <w:spacing w:after="0" w:line="240" w:lineRule="auto"/>
              <w:rPr>
                <w:rFonts w:ascii="Arial" w:hAnsi="Arial" w:cs="Arial"/>
                <w:sz w:val="20"/>
                <w:szCs w:val="20"/>
              </w:rPr>
            </w:pPr>
          </w:p>
          <w:p w:rsidR="001C6928" w:rsidRPr="0094199D" w:rsidRDefault="001C6928" w:rsidP="00667996">
            <w:pPr>
              <w:autoSpaceDE w:val="0"/>
              <w:autoSpaceDN w:val="0"/>
              <w:adjustRightInd w:val="0"/>
              <w:spacing w:after="0" w:line="240" w:lineRule="auto"/>
              <w:rPr>
                <w:rFonts w:ascii="Arial" w:hAnsi="Arial" w:cs="Arial"/>
                <w:i/>
                <w:sz w:val="20"/>
                <w:szCs w:val="20"/>
              </w:rPr>
            </w:pPr>
            <w:r w:rsidRPr="0094199D">
              <w:rPr>
                <w:rFonts w:ascii="Arial" w:hAnsi="Arial" w:cs="Arial"/>
                <w:i/>
                <w:sz w:val="20"/>
                <w:szCs w:val="20"/>
              </w:rPr>
              <w:t>Obal musí byť opatrený hmatateľnou výstrahou pre nevidomých. Obal musí byť opatrený uzáverom odolným proti otvoreniu deťmi.</w:t>
            </w:r>
          </w:p>
        </w:tc>
      </w:tr>
    </w:tbl>
    <w:p w:rsidR="004C5630" w:rsidRPr="0094199D" w:rsidRDefault="004C5630" w:rsidP="004C5630">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4C5630" w:rsidRPr="0094199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4199D" w:rsidRDefault="004C5630" w:rsidP="00667996">
            <w:pPr>
              <w:autoSpaceDE w:val="0"/>
              <w:autoSpaceDN w:val="0"/>
              <w:adjustRightInd w:val="0"/>
              <w:spacing w:after="0" w:line="240" w:lineRule="auto"/>
              <w:ind w:left="90"/>
              <w:rPr>
                <w:rFonts w:ascii="Arial" w:hAnsi="Arial" w:cs="Arial"/>
                <w:sz w:val="20"/>
                <w:szCs w:val="20"/>
              </w:rPr>
            </w:pPr>
            <w:r w:rsidRPr="0094199D">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4199D" w:rsidRDefault="004C5630" w:rsidP="00667996">
            <w:pPr>
              <w:autoSpaceDE w:val="0"/>
              <w:autoSpaceDN w:val="0"/>
              <w:adjustRightInd w:val="0"/>
              <w:spacing w:after="0" w:line="240" w:lineRule="auto"/>
              <w:rPr>
                <w:rFonts w:ascii="Arial" w:hAnsi="Arial" w:cs="Arial"/>
                <w:sz w:val="20"/>
                <w:szCs w:val="20"/>
              </w:rPr>
            </w:pPr>
            <w:r w:rsidRPr="0094199D">
              <w:rPr>
                <w:rFonts w:ascii="Arial" w:hAnsi="Arial" w:cs="Arial"/>
                <w:sz w:val="20"/>
                <w:szCs w:val="20"/>
              </w:rPr>
              <w:t>Látka / zmes neobsahuje látky PBT / vPvB v súlade s nariadením (ES) č. 1907/2006, príloha XIII.</w:t>
            </w:r>
          </w:p>
          <w:p w:rsidR="004C5630" w:rsidRPr="0094199D" w:rsidRDefault="004C5630" w:rsidP="00667996">
            <w:pPr>
              <w:autoSpaceDE w:val="0"/>
              <w:autoSpaceDN w:val="0"/>
              <w:adjustRightInd w:val="0"/>
              <w:spacing w:after="0" w:line="240" w:lineRule="auto"/>
              <w:rPr>
                <w:rFonts w:ascii="Arial" w:hAnsi="Arial" w:cs="Arial"/>
                <w:sz w:val="20"/>
                <w:szCs w:val="20"/>
              </w:rPr>
            </w:pPr>
            <w:r w:rsidRPr="0094199D">
              <w:rPr>
                <w:rFonts w:ascii="Arial" w:hAnsi="Arial" w:cs="Arial"/>
                <w:sz w:val="20"/>
                <w:szCs w:val="20"/>
              </w:rPr>
              <w:t>Žiadne informácie o iných nebezpečenstvách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4C5630" w:rsidRPr="00D856C7" w:rsidRDefault="004C5630" w:rsidP="004C5630">
      <w:pPr>
        <w:spacing w:after="0"/>
        <w:rPr>
          <w:sz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4"/>
        <w:gridCol w:w="1256"/>
        <w:gridCol w:w="344"/>
        <w:gridCol w:w="1701"/>
        <w:gridCol w:w="1134"/>
        <w:gridCol w:w="1559"/>
        <w:gridCol w:w="1134"/>
      </w:tblGrid>
      <w:tr w:rsidR="004C5630" w:rsidRPr="00D856C7" w:rsidTr="00667996">
        <w:tc>
          <w:tcPr>
            <w:tcW w:w="9072" w:type="dxa"/>
            <w:gridSpan w:val="7"/>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4C5630" w:rsidRPr="006B322B"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860B4D" w:rsidRDefault="00A17B3F" w:rsidP="00667996">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,2’-(</w:t>
            </w:r>
            <w:proofErr w:type="spellStart"/>
            <w:r w:rsidRPr="006B322B">
              <w:rPr>
                <w:rFonts w:ascii="Arial" w:hAnsi="Arial" w:cs="Arial"/>
                <w:sz w:val="17"/>
                <w:szCs w:val="17"/>
              </w:rPr>
              <w:t>etylénbisimino</w:t>
            </w:r>
            <w:proofErr w:type="spellEnd"/>
            <w:r w:rsidRPr="006B322B">
              <w:rPr>
                <w:rFonts w:ascii="Arial" w:hAnsi="Arial" w:cs="Arial"/>
                <w:sz w:val="17"/>
                <w:szCs w:val="17"/>
              </w:rPr>
              <w:t xml:space="preserve">)di(etán-1- </w:t>
            </w:r>
            <w:proofErr w:type="spellStart"/>
            <w:r w:rsidRPr="006B322B">
              <w:rPr>
                <w:rFonts w:ascii="Arial" w:hAnsi="Arial" w:cs="Arial"/>
                <w:sz w:val="17"/>
                <w:szCs w:val="17"/>
              </w:rPr>
              <w:t>amín</w:t>
            </w:r>
            <w:proofErr w:type="spellEnd"/>
            <w:r w:rsidRPr="006B322B">
              <w:rPr>
                <w:rFonts w:ascii="Arial" w:hAnsi="Arial" w:cs="Arial"/>
                <w:sz w:val="17"/>
                <w:szCs w:val="17"/>
              </w:rPr>
              <w:t xml:space="preserve">); </w:t>
            </w:r>
            <w:proofErr w:type="spellStart"/>
            <w:r w:rsidRPr="006B322B">
              <w:rPr>
                <w:rFonts w:ascii="Arial" w:hAnsi="Arial" w:cs="Arial"/>
                <w:sz w:val="17"/>
                <w:szCs w:val="17"/>
              </w:rPr>
              <w:t>trietyléntetramín</w:t>
            </w:r>
            <w:proofErr w:type="spellEnd"/>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tcPr>
          <w:p w:rsidR="001C6928" w:rsidRPr="006B322B" w:rsidRDefault="00A17B3F" w:rsidP="0038199A">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112-24-3</w:t>
            </w:r>
          </w:p>
          <w:p w:rsidR="00A17B3F" w:rsidRPr="00860B4D" w:rsidRDefault="00A17B3F" w:rsidP="0038199A">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203-950-6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7B3F" w:rsidRPr="006B322B"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 xml:space="preserve">Acute Tox. 4 </w:t>
            </w:r>
          </w:p>
          <w:p w:rsidR="00A17B3F" w:rsidRPr="006B322B"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 xml:space="preserve">Skin Corr. 1B </w:t>
            </w:r>
          </w:p>
          <w:p w:rsidR="00A17B3F" w:rsidRPr="006B322B"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 xml:space="preserve">Skin Sens. 1 </w:t>
            </w:r>
          </w:p>
          <w:p w:rsidR="004C5630" w:rsidRPr="00860B4D"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 xml:space="preserve">Aquatic Chronic 3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17B3F" w:rsidRPr="006B322B"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 xml:space="preserve">H312 </w:t>
            </w:r>
          </w:p>
          <w:p w:rsidR="00A17B3F" w:rsidRPr="006B322B"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 xml:space="preserve">H314 </w:t>
            </w:r>
          </w:p>
          <w:p w:rsidR="00A17B3F" w:rsidRPr="006B322B"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 xml:space="preserve">H317 </w:t>
            </w:r>
          </w:p>
          <w:p w:rsidR="004C5630" w:rsidRPr="00860B4D"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 xml:space="preserve">H412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7B3F" w:rsidRPr="006B322B" w:rsidRDefault="00A17B3F" w:rsidP="00667996">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 xml:space="preserve">GHS05 </w:t>
            </w:r>
          </w:p>
          <w:p w:rsidR="00A17B3F" w:rsidRPr="006B322B" w:rsidRDefault="00A17B3F" w:rsidP="00667996">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 xml:space="preserve">GHS07 </w:t>
            </w:r>
          </w:p>
          <w:p w:rsidR="00F40284" w:rsidRPr="00860B4D" w:rsidRDefault="00A17B3F" w:rsidP="00667996">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860B4D" w:rsidRDefault="001C6928" w:rsidP="00A17B3F">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w:t>
            </w:r>
            <w:r w:rsidR="00A17B3F">
              <w:rPr>
                <w:rFonts w:ascii="Arial" w:hAnsi="Arial" w:cs="Arial"/>
                <w:sz w:val="17"/>
                <w:szCs w:val="17"/>
              </w:rPr>
              <w:t>5</w:t>
            </w:r>
            <w:r w:rsidR="004C5630" w:rsidRPr="00860B4D">
              <w:rPr>
                <w:rFonts w:ascii="Arial" w:hAnsi="Arial" w:cs="Arial"/>
                <w:sz w:val="17"/>
                <w:szCs w:val="17"/>
              </w:rPr>
              <w:t xml:space="preserve"> – </w:t>
            </w:r>
            <w:r w:rsidRPr="00860B4D">
              <w:rPr>
                <w:rFonts w:ascii="Arial" w:hAnsi="Arial" w:cs="Arial"/>
                <w:sz w:val="17"/>
                <w:szCs w:val="17"/>
              </w:rPr>
              <w:t>1</w:t>
            </w:r>
            <w:r w:rsidR="00A17B3F">
              <w:rPr>
                <w:rFonts w:ascii="Arial" w:hAnsi="Arial" w:cs="Arial"/>
                <w:sz w:val="17"/>
                <w:szCs w:val="17"/>
              </w:rPr>
              <w:t>5</w:t>
            </w:r>
            <w:r w:rsidR="004C5630" w:rsidRPr="00860B4D">
              <w:rPr>
                <w:rFonts w:ascii="Arial" w:hAnsi="Arial" w:cs="Arial"/>
                <w:sz w:val="17"/>
                <w:szCs w:val="17"/>
              </w:rPr>
              <w:t>) %</w:t>
            </w:r>
          </w:p>
        </w:tc>
      </w:tr>
      <w:tr w:rsidR="004C5630" w:rsidRPr="006B322B"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860B4D" w:rsidRDefault="00A17B3F" w:rsidP="003671DA">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2,4,6-tris(</w:t>
            </w:r>
            <w:proofErr w:type="spellStart"/>
            <w:r w:rsidRPr="006B322B">
              <w:rPr>
                <w:rFonts w:ascii="Arial" w:hAnsi="Arial" w:cs="Arial"/>
                <w:sz w:val="17"/>
                <w:szCs w:val="17"/>
              </w:rPr>
              <w:t>dimetylaminometyl</w:t>
            </w:r>
            <w:proofErr w:type="spellEnd"/>
            <w:r w:rsidRPr="006B322B">
              <w:rPr>
                <w:rFonts w:ascii="Arial" w:hAnsi="Arial" w:cs="Arial"/>
                <w:sz w:val="17"/>
                <w:szCs w:val="17"/>
              </w:rPr>
              <w:t>)fenol</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tcPr>
          <w:p w:rsidR="001C6928" w:rsidRPr="006B322B" w:rsidRDefault="00A17B3F" w:rsidP="0038199A">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90-72-2</w:t>
            </w:r>
          </w:p>
          <w:p w:rsidR="00A17B3F" w:rsidRPr="006B322B" w:rsidRDefault="00A17B3F" w:rsidP="0038199A">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202-013-9</w:t>
            </w:r>
          </w:p>
          <w:p w:rsidR="00A17B3F" w:rsidRPr="00860B4D" w:rsidRDefault="00A17B3F" w:rsidP="0038199A">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01-2119560597-27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7B3F" w:rsidRPr="006B322B"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 xml:space="preserve">Acute Tox. 4 </w:t>
            </w:r>
          </w:p>
          <w:p w:rsidR="00A17B3F" w:rsidRPr="006B322B"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 xml:space="preserve">Eye Irrit. 2 </w:t>
            </w:r>
          </w:p>
          <w:p w:rsidR="00F40284" w:rsidRPr="00860B4D"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 xml:space="preserve">Skin Irrit. 2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17B3F" w:rsidRPr="006B322B"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 xml:space="preserve">H302 </w:t>
            </w:r>
          </w:p>
          <w:p w:rsidR="00A17B3F" w:rsidRPr="006B322B"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 xml:space="preserve">H319 </w:t>
            </w:r>
          </w:p>
          <w:p w:rsidR="004C5630" w:rsidRPr="00860B4D"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 xml:space="preserve">H315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7B3F" w:rsidRPr="006B322B" w:rsidRDefault="00A17B3F" w:rsidP="00667996">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 xml:space="preserve">GHS07 </w:t>
            </w:r>
          </w:p>
          <w:p w:rsidR="004C5630" w:rsidRPr="00860B4D" w:rsidRDefault="00A17B3F" w:rsidP="00667996">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Wng</w:t>
            </w:r>
            <w:r w:rsidRPr="00860B4D">
              <w:rPr>
                <w:rFonts w:ascii="Arial" w:hAnsi="Arial" w:cs="Arial"/>
                <w:sz w:val="17"/>
                <w:szCs w:val="17"/>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860B4D" w:rsidRDefault="00F40284" w:rsidP="00A17B3F">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w:t>
            </w:r>
            <w:r w:rsidR="001C6928" w:rsidRPr="00860B4D">
              <w:rPr>
                <w:rFonts w:ascii="Arial" w:hAnsi="Arial" w:cs="Arial"/>
                <w:sz w:val="17"/>
                <w:szCs w:val="17"/>
              </w:rPr>
              <w:t>1</w:t>
            </w:r>
            <w:r w:rsidRPr="00860B4D">
              <w:rPr>
                <w:rFonts w:ascii="Arial" w:hAnsi="Arial" w:cs="Arial"/>
                <w:sz w:val="17"/>
                <w:szCs w:val="17"/>
              </w:rPr>
              <w:t xml:space="preserve"> – </w:t>
            </w:r>
            <w:r w:rsidR="00A17B3F">
              <w:rPr>
                <w:rFonts w:ascii="Arial" w:hAnsi="Arial" w:cs="Arial"/>
                <w:sz w:val="17"/>
                <w:szCs w:val="17"/>
              </w:rPr>
              <w:t>5</w:t>
            </w:r>
            <w:r w:rsidRPr="00860B4D">
              <w:rPr>
                <w:rFonts w:ascii="Arial" w:hAnsi="Arial" w:cs="Arial"/>
                <w:sz w:val="17"/>
                <w:szCs w:val="17"/>
              </w:rPr>
              <w:t>) %</w:t>
            </w:r>
          </w:p>
        </w:tc>
      </w:tr>
      <w:tr w:rsidR="00B07E5D" w:rsidRPr="006B322B" w:rsidTr="00A17B3F">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B07E5D" w:rsidRPr="00860B4D"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(3-aminopropyl)tri(</w:t>
            </w:r>
            <w:proofErr w:type="spellStart"/>
            <w:r w:rsidRPr="006B322B">
              <w:rPr>
                <w:rFonts w:ascii="Arial" w:hAnsi="Arial" w:cs="Arial"/>
                <w:sz w:val="17"/>
                <w:szCs w:val="17"/>
              </w:rPr>
              <w:t>etoxy</w:t>
            </w:r>
            <w:proofErr w:type="spellEnd"/>
            <w:r w:rsidRPr="006B322B">
              <w:rPr>
                <w:rFonts w:ascii="Arial" w:hAnsi="Arial" w:cs="Arial"/>
                <w:sz w:val="17"/>
                <w:szCs w:val="17"/>
              </w:rPr>
              <w:t>)</w:t>
            </w:r>
            <w:proofErr w:type="spellStart"/>
            <w:r w:rsidRPr="006B322B">
              <w:rPr>
                <w:rFonts w:ascii="Arial" w:hAnsi="Arial" w:cs="Arial"/>
                <w:sz w:val="17"/>
                <w:szCs w:val="17"/>
              </w:rPr>
              <w:t>silán</w:t>
            </w:r>
            <w:proofErr w:type="spellEnd"/>
            <w:r w:rsidRPr="006B322B">
              <w:rPr>
                <w:rFonts w:ascii="Arial" w:hAnsi="Arial" w:cs="Arial"/>
                <w:sz w:val="17"/>
                <w:szCs w:val="17"/>
              </w:rPr>
              <w:t>; 3-(</w:t>
            </w:r>
            <w:proofErr w:type="spellStart"/>
            <w:r w:rsidRPr="006B322B">
              <w:rPr>
                <w:rFonts w:ascii="Arial" w:hAnsi="Arial" w:cs="Arial"/>
                <w:sz w:val="17"/>
                <w:szCs w:val="17"/>
              </w:rPr>
              <w:t>trietoxysilyl</w:t>
            </w:r>
            <w:proofErr w:type="spellEnd"/>
            <w:r w:rsidRPr="006B322B">
              <w:rPr>
                <w:rFonts w:ascii="Arial" w:hAnsi="Arial" w:cs="Arial"/>
                <w:sz w:val="17"/>
                <w:szCs w:val="17"/>
              </w:rPr>
              <w:t>)propán-1-amín</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tcPr>
          <w:p w:rsidR="00A17B3F" w:rsidRPr="006B322B"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919-30-2</w:t>
            </w:r>
          </w:p>
          <w:p w:rsidR="00A17B3F" w:rsidRPr="006B322B"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213-048-4</w:t>
            </w:r>
          </w:p>
          <w:p w:rsidR="001C6928" w:rsidRPr="00860B4D"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01-2119480479-24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7B3F" w:rsidRPr="006B322B"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 xml:space="preserve">Acute Tox. 4 </w:t>
            </w:r>
          </w:p>
          <w:p w:rsidR="00B07E5D" w:rsidRPr="00860B4D"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 xml:space="preserve">Skin Corr. 1B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17B3F" w:rsidRPr="006B322B"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 xml:space="preserve">H302 </w:t>
            </w:r>
          </w:p>
          <w:p w:rsidR="00B07E5D" w:rsidRPr="00860B4D"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H314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7B3F" w:rsidRPr="006B322B"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 xml:space="preserve">GHS05 </w:t>
            </w:r>
          </w:p>
          <w:p w:rsidR="00A17B3F" w:rsidRPr="006B322B"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 xml:space="preserve">GHS07 </w:t>
            </w:r>
          </w:p>
          <w:p w:rsidR="00B07E5D" w:rsidRPr="00860B4D" w:rsidRDefault="00A17B3F" w:rsidP="00A17B3F">
            <w:pPr>
              <w:autoSpaceDE w:val="0"/>
              <w:autoSpaceDN w:val="0"/>
              <w:adjustRightInd w:val="0"/>
              <w:spacing w:after="0" w:line="240" w:lineRule="auto"/>
              <w:rPr>
                <w:rFonts w:ascii="Arial" w:hAnsi="Arial" w:cs="Arial"/>
                <w:sz w:val="17"/>
                <w:szCs w:val="17"/>
              </w:rPr>
            </w:pPr>
            <w:r w:rsidRPr="006B322B">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E5D" w:rsidRPr="00860B4D" w:rsidRDefault="00B07E5D" w:rsidP="00A17B3F">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 xml:space="preserve">(1 – </w:t>
            </w:r>
            <w:r w:rsidR="00860B4D" w:rsidRPr="00860B4D">
              <w:rPr>
                <w:rFonts w:ascii="Arial" w:hAnsi="Arial" w:cs="Arial"/>
                <w:sz w:val="17"/>
                <w:szCs w:val="17"/>
              </w:rPr>
              <w:t>3</w:t>
            </w:r>
            <w:r w:rsidRPr="00860B4D">
              <w:rPr>
                <w:rFonts w:ascii="Arial" w:hAnsi="Arial" w:cs="Arial"/>
                <w:sz w:val="17"/>
                <w:szCs w:val="17"/>
              </w:rPr>
              <w:t>) %</w:t>
            </w:r>
          </w:p>
        </w:tc>
      </w:tr>
      <w:tr w:rsidR="00DD79BD" w:rsidRPr="00F85253" w:rsidTr="00DD79BD">
        <w:tc>
          <w:tcPr>
            <w:tcW w:w="9072" w:type="dxa"/>
            <w:gridSpan w:val="7"/>
            <w:shd w:val="clear" w:color="auto" w:fill="auto"/>
          </w:tcPr>
          <w:p w:rsidR="00DD79BD" w:rsidRPr="00F85253" w:rsidRDefault="00DD79BD" w:rsidP="000477F4">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lastRenderedPageBreak/>
              <w:t xml:space="preserve">Plné znenie H-výstražných upozornení je v oddiele 16. </w:t>
            </w:r>
          </w:p>
        </w:tc>
      </w:tr>
      <w:tr w:rsidR="00DD79BD" w:rsidRPr="006B322B"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Látka s expozičným limitom v pracovnom ovzduší</w:t>
            </w:r>
          </w:p>
        </w:tc>
        <w:tc>
          <w:tcPr>
            <w:tcW w:w="5872"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656C5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žiadne</w:t>
            </w:r>
          </w:p>
        </w:tc>
      </w:tr>
      <w:tr w:rsidR="00DD79BD" w:rsidRPr="006B322B"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7E5E9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Látka so špecifickými koncentračnými limitmi / M-faktormi</w:t>
            </w:r>
          </w:p>
        </w:tc>
        <w:tc>
          <w:tcPr>
            <w:tcW w:w="5872"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860B4D"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žiadne</w:t>
            </w:r>
          </w:p>
        </w:tc>
      </w:tr>
    </w:tbl>
    <w:p w:rsidR="00DD79BD" w:rsidRPr="006B322B"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322B" w:rsidTr="00DD79BD">
        <w:tc>
          <w:tcPr>
            <w:tcW w:w="9072" w:type="dxa"/>
            <w:shd w:val="clear" w:color="auto" w:fill="FFFF00"/>
          </w:tcPr>
          <w:p w:rsidR="00DD79BD" w:rsidRPr="006B322B" w:rsidRDefault="00DD79BD" w:rsidP="00DD79BD">
            <w:pPr>
              <w:autoSpaceDE w:val="0"/>
              <w:autoSpaceDN w:val="0"/>
              <w:adjustRightInd w:val="0"/>
              <w:spacing w:after="0" w:line="240" w:lineRule="auto"/>
              <w:ind w:left="150"/>
              <w:rPr>
                <w:rFonts w:ascii="Arial" w:hAnsi="Arial" w:cs="Arial"/>
                <w:sz w:val="20"/>
                <w:szCs w:val="20"/>
              </w:rPr>
            </w:pPr>
            <w:r w:rsidRPr="006B322B">
              <w:rPr>
                <w:rFonts w:ascii="Arial" w:hAnsi="Arial" w:cs="Arial"/>
                <w:b/>
                <w:bCs/>
                <w:sz w:val="20"/>
                <w:szCs w:val="20"/>
              </w:rPr>
              <w:t>ODDIEL 4: Opatrenia prvej pomoci</w:t>
            </w:r>
          </w:p>
        </w:tc>
      </w:tr>
    </w:tbl>
    <w:p w:rsidR="00DD79BD" w:rsidRPr="006B322B"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6B322B"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4.1. Opis opatrení prvej pomoci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378A2" w:rsidRPr="006B322B" w:rsidRDefault="00656C5E" w:rsidP="002133D0">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Dbajte na vlastnú bezpečnosť. Ak sa prejavia zdravotné ťažkosti alebo v prípade pochybností, upovedomte lekára a poskytnite mu informácie z tejto karty bezpečnostných údajov. Pri bezvedomí umiestnite postihnutú osobu do stabilizovanej polohy naboku s mierne zaklonenou hlavou a dbajte o priechodnosť dýchacích ciest, nikdy nevyvolávajte vracanie. Ak vracia postihnutý sám, dbajte na to, aby nedošlo k vdýchnutiu zvratkov. Pri stavoch ohrozujúcich život najprv vykonávajte resuscitáciu postihnutej osoby a zaistite lekársku pomoc. Zástava dychu - okamžite vykonávajte umelé dýchanie. Zástava srdca - okamžite vykonávajte nepriamu masáž srdca</w:t>
            </w:r>
          </w:p>
        </w:tc>
      </w:tr>
      <w:tr w:rsidR="00DD79BD" w:rsidRPr="006B322B"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Pokyny na prvú pomoc pri inhalácii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860B4D" w:rsidP="004C5630">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Dbajte na vlastnú bezpečnosť, nenechajte postihnutého chodiť! 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6B322B"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Pokyny na prvú pomoc pri kontakte s kožou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860B4D" w:rsidP="004C5630">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Zoblečte postriekaný odev. Pred umytím alebo v jeho priebehu odložte prstene, hodinky, náramky, ak sú v miestach zasiahnutej pokožky. Podľa situácie volajte záchrannú službu a zaistite vždy lekárske ošetrenie. Zasiahnuté miesta oplachujte prúdom pokiaľ možno vlažnej vody po dobu 10-30 minút; nepoužívajte </w:t>
            </w:r>
            <w:proofErr w:type="spellStart"/>
            <w:r w:rsidRPr="006B322B">
              <w:rPr>
                <w:rFonts w:ascii="Arial" w:hAnsi="Arial" w:cs="Arial"/>
                <w:sz w:val="20"/>
                <w:szCs w:val="20"/>
              </w:rPr>
              <w:t>kartáč</w:t>
            </w:r>
            <w:proofErr w:type="spellEnd"/>
            <w:r w:rsidRPr="006B322B">
              <w:rPr>
                <w:rFonts w:ascii="Arial" w:hAnsi="Arial" w:cs="Arial"/>
                <w:sz w:val="20"/>
                <w:szCs w:val="20"/>
              </w:rPr>
              <w:t>, mydlo ani neutralizáciu. Pokožku opláchnite vodou/sprchou. Opatrne niekoľko minút oplachujte vodou.</w:t>
            </w:r>
          </w:p>
        </w:tc>
      </w:tr>
      <w:tr w:rsidR="00DD79BD" w:rsidRPr="006B322B"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Pokyny na prvú pomoc pri kontakte s</w:t>
            </w:r>
            <w:r w:rsidR="002133D0" w:rsidRPr="006B322B">
              <w:rPr>
                <w:rFonts w:ascii="Arial" w:hAnsi="Arial" w:cs="Arial"/>
                <w:sz w:val="20"/>
                <w:szCs w:val="20"/>
              </w:rPr>
              <w:t> </w:t>
            </w:r>
            <w:r w:rsidRPr="006B322B">
              <w:rPr>
                <w:rFonts w:ascii="Arial" w:hAnsi="Arial" w:cs="Arial"/>
                <w:sz w:val="20"/>
                <w:szCs w:val="20"/>
              </w:rPr>
              <w:t>očami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860B4D" w:rsidP="002133D0">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Ihneď vyplachujte oči prúdom tečúcej vody, roztvorte viečka (aj násilím); ak má postihnutá osoba kontaktné šošovky, ihneď ich vyberte. V žiadnom prípade nevykonávajte neutralizáciu! Vyplachujte 10-30 minút od vnútorného kútika k vonkajšiemu, aby nebolo zasiahnuté druhé oko. Podľa situácie volajte záchrannú službu alebo zaistite čo najrýchlejšie lekárske ošetrenie. Na vyšetrenie musí byť odoslaný každý aj v prípade malého zasiahnutia.</w:t>
            </w:r>
          </w:p>
        </w:tc>
      </w:tr>
      <w:tr w:rsidR="00DD79BD" w:rsidRPr="006B322B"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Pokyny na prvú pomoc pri požití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85253" w:rsidRDefault="00860B4D" w:rsidP="006B322B">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NEVYVOLÁVAJTE VRACANIE - hrozí nebezpečenstvo ďalšieho poškodenia tráviaceho traktu!!! Hrozí perforácia pažeráka aj žalúdka! OKAMŽITE VYPLÁCHNITE ÚSTNU DUTINU VODOU A DAJTE VYPIŤ 2-5 dl chladnej vody na zmiernenie tepelného účinku žieraviny. Väčšie množstvo požitej tekutiny nie je vhodné, mohlo by vyvolať zvracanie a prípadné vdýchnutie žieravín do pľúc. Postihnutý osobu nenúťte piť, najmä ak už má bolesti v ústach alebo v krku. V tom prípade nechajte postihnutého iba vypláchnuť ústnu dutinu vodou. NEPODÁVAJTE AKTÍVNE UHLIE! Podľa situácie volajte záchrannú službu alebo zaistite čo najrýchlejšie lekárske ošetrenie.</w:t>
            </w:r>
          </w:p>
          <w:p w:rsidR="0094199D" w:rsidRDefault="0094199D" w:rsidP="006B322B">
            <w:pPr>
              <w:autoSpaceDE w:val="0"/>
              <w:autoSpaceDN w:val="0"/>
              <w:adjustRightInd w:val="0"/>
              <w:spacing w:after="0" w:line="240" w:lineRule="auto"/>
              <w:rPr>
                <w:rFonts w:ascii="Arial" w:hAnsi="Arial" w:cs="Arial"/>
                <w:sz w:val="20"/>
                <w:szCs w:val="20"/>
              </w:rPr>
            </w:pPr>
          </w:p>
          <w:p w:rsidR="0094199D" w:rsidRDefault="0094199D" w:rsidP="006B322B">
            <w:pPr>
              <w:autoSpaceDE w:val="0"/>
              <w:autoSpaceDN w:val="0"/>
              <w:adjustRightInd w:val="0"/>
              <w:spacing w:after="0" w:line="240" w:lineRule="auto"/>
              <w:rPr>
                <w:rFonts w:ascii="Arial" w:hAnsi="Arial" w:cs="Arial"/>
                <w:sz w:val="20"/>
                <w:szCs w:val="20"/>
              </w:rPr>
            </w:pPr>
          </w:p>
          <w:p w:rsidR="0094199D" w:rsidRPr="006B322B" w:rsidRDefault="0094199D" w:rsidP="006B322B">
            <w:pPr>
              <w:autoSpaceDE w:val="0"/>
              <w:autoSpaceDN w:val="0"/>
              <w:adjustRightInd w:val="0"/>
              <w:spacing w:after="0" w:line="240" w:lineRule="auto"/>
              <w:rPr>
                <w:rFonts w:ascii="Arial" w:hAnsi="Arial" w:cs="Arial"/>
                <w:sz w:val="20"/>
                <w:szCs w:val="20"/>
              </w:rPr>
            </w:pPr>
          </w:p>
        </w:tc>
      </w:tr>
      <w:tr w:rsidR="00DD79BD" w:rsidRPr="006B322B" w:rsidTr="00211B17">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2133D0">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lastRenderedPageBreak/>
              <w:t>4.2 Najdôležitejšie príznaky a účinky</w:t>
            </w:r>
          </w:p>
        </w:tc>
      </w:tr>
      <w:tr w:rsidR="000477F4" w:rsidRPr="006B322B"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6B322B"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6B322B" w:rsidRDefault="000477F4"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Akútne</w:t>
            </w:r>
          </w:p>
        </w:tc>
        <w:tc>
          <w:tcPr>
            <w:tcW w:w="5872" w:type="dxa"/>
            <w:vMerge w:val="restart"/>
            <w:tcBorders>
              <w:top w:val="single" w:sz="4" w:space="0" w:color="auto"/>
              <w:left w:val="single" w:sz="4" w:space="0" w:color="auto"/>
              <w:right w:val="single" w:sz="4" w:space="0" w:color="auto"/>
            </w:tcBorders>
            <w:shd w:val="clear" w:color="auto" w:fill="auto"/>
          </w:tcPr>
          <w:p w:rsidR="002133D0" w:rsidRPr="006B322B" w:rsidRDefault="002133D0" w:rsidP="002133D0">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Pri vdýchnutí: </w:t>
            </w:r>
            <w:r w:rsidR="006B322B" w:rsidRPr="006B322B">
              <w:rPr>
                <w:rFonts w:ascii="Arial" w:hAnsi="Arial" w:cs="Arial"/>
                <w:sz w:val="20"/>
                <w:szCs w:val="20"/>
              </w:rPr>
              <w:t>Vdychovanie pár môže spôsobiť poleptanie dýchacieho traktu.</w:t>
            </w:r>
          </w:p>
          <w:p w:rsidR="002133D0" w:rsidRPr="006B322B" w:rsidRDefault="002133D0" w:rsidP="002133D0">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Pri kontakte s pokožkou: </w:t>
            </w:r>
            <w:r w:rsidR="006B322B" w:rsidRPr="006B322B">
              <w:rPr>
                <w:rFonts w:ascii="Arial" w:hAnsi="Arial" w:cs="Arial"/>
                <w:sz w:val="20"/>
                <w:szCs w:val="20"/>
              </w:rPr>
              <w:t>Spôsobuje ťažké poleptanie kože. Môže vyvolať alergickú kožnú reakciu.</w:t>
            </w:r>
          </w:p>
          <w:p w:rsidR="002133D0" w:rsidRPr="006B322B" w:rsidRDefault="002133D0" w:rsidP="002133D0">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Po zasiahnutí očí: </w:t>
            </w:r>
            <w:r w:rsidR="004C5630" w:rsidRPr="006B322B">
              <w:rPr>
                <w:rFonts w:ascii="Arial" w:hAnsi="Arial" w:cs="Arial"/>
                <w:sz w:val="20"/>
                <w:szCs w:val="20"/>
              </w:rPr>
              <w:t xml:space="preserve">Spôsobuje vážne </w:t>
            </w:r>
            <w:r w:rsidR="00860B4D" w:rsidRPr="006B322B">
              <w:rPr>
                <w:rFonts w:ascii="Arial" w:hAnsi="Arial" w:cs="Arial"/>
                <w:sz w:val="20"/>
                <w:szCs w:val="20"/>
              </w:rPr>
              <w:t>poškodenie</w:t>
            </w:r>
            <w:r w:rsidR="004C5630" w:rsidRPr="006B322B">
              <w:rPr>
                <w:rFonts w:ascii="Arial" w:hAnsi="Arial" w:cs="Arial"/>
                <w:sz w:val="20"/>
                <w:szCs w:val="20"/>
              </w:rPr>
              <w:t xml:space="preserve"> očí.</w:t>
            </w:r>
          </w:p>
          <w:p w:rsidR="000477F4" w:rsidRPr="006B322B" w:rsidRDefault="002133D0" w:rsidP="00860B4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Po požití: </w:t>
            </w:r>
            <w:r w:rsidR="00860B4D" w:rsidRPr="006B322B">
              <w:rPr>
                <w:rFonts w:ascii="Arial" w:hAnsi="Arial" w:cs="Arial"/>
                <w:sz w:val="20"/>
                <w:szCs w:val="20"/>
              </w:rPr>
              <w:t>Môže dôjsť k poleptaniu tráviaceho traktu.</w:t>
            </w:r>
          </w:p>
        </w:tc>
      </w:tr>
      <w:tr w:rsidR="000477F4" w:rsidRPr="006B322B"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6B322B"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6B322B" w:rsidRDefault="000477F4"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Oneskorené</w:t>
            </w:r>
          </w:p>
        </w:tc>
        <w:tc>
          <w:tcPr>
            <w:tcW w:w="5872" w:type="dxa"/>
            <w:vMerge/>
            <w:tcBorders>
              <w:left w:val="single" w:sz="4" w:space="0" w:color="auto"/>
              <w:bottom w:val="single" w:sz="4" w:space="0" w:color="auto"/>
              <w:right w:val="single" w:sz="4" w:space="0" w:color="auto"/>
            </w:tcBorders>
            <w:shd w:val="clear" w:color="auto" w:fill="auto"/>
          </w:tcPr>
          <w:p w:rsidR="000477F4" w:rsidRPr="006B322B" w:rsidRDefault="000477F4" w:rsidP="002133D0">
            <w:pPr>
              <w:autoSpaceDE w:val="0"/>
              <w:autoSpaceDN w:val="0"/>
              <w:adjustRightInd w:val="0"/>
              <w:spacing w:after="0" w:line="240" w:lineRule="auto"/>
              <w:ind w:left="90"/>
              <w:rPr>
                <w:rFonts w:ascii="Arial" w:hAnsi="Arial" w:cs="Arial"/>
                <w:sz w:val="20"/>
                <w:szCs w:val="20"/>
              </w:rPr>
            </w:pPr>
          </w:p>
        </w:tc>
      </w:tr>
      <w:tr w:rsidR="00DD79BD" w:rsidRPr="006B322B"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4.3. Údaj o akejkoľvek potrebe okamžitej lekárskej starostlivosti a osobitného ošetrenia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33D0" w:rsidRPr="006B322B" w:rsidRDefault="002133D0" w:rsidP="002133D0">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Liečba symptomatická.</w:t>
            </w:r>
          </w:p>
          <w:p w:rsidR="00DD79BD" w:rsidRPr="006B322B" w:rsidRDefault="00DD79BD" w:rsidP="002133D0">
            <w:pPr>
              <w:autoSpaceDE w:val="0"/>
              <w:autoSpaceDN w:val="0"/>
              <w:adjustRightInd w:val="0"/>
              <w:spacing w:after="0" w:line="240" w:lineRule="auto"/>
              <w:rPr>
                <w:rFonts w:ascii="Arial" w:hAnsi="Arial" w:cs="Arial"/>
                <w:sz w:val="20"/>
                <w:szCs w:val="20"/>
              </w:rPr>
            </w:pPr>
          </w:p>
        </w:tc>
      </w:tr>
      <w:tr w:rsidR="00DD79BD" w:rsidRPr="006B322B"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Osobitné prostriedky na pracovisku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2133D0">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neuvádzajú sa</w:t>
            </w:r>
          </w:p>
          <w:p w:rsidR="000772E8" w:rsidRPr="006B322B" w:rsidRDefault="000772E8" w:rsidP="002133D0">
            <w:pPr>
              <w:autoSpaceDE w:val="0"/>
              <w:autoSpaceDN w:val="0"/>
              <w:adjustRightInd w:val="0"/>
              <w:spacing w:after="0" w:line="240" w:lineRule="auto"/>
              <w:rPr>
                <w:rFonts w:ascii="Arial" w:hAnsi="Arial" w:cs="Arial"/>
                <w:sz w:val="20"/>
                <w:szCs w:val="20"/>
              </w:rPr>
            </w:pPr>
          </w:p>
          <w:p w:rsidR="000772E8" w:rsidRPr="006B322B" w:rsidRDefault="000772E8" w:rsidP="002133D0">
            <w:pPr>
              <w:autoSpaceDE w:val="0"/>
              <w:autoSpaceDN w:val="0"/>
              <w:adjustRightInd w:val="0"/>
              <w:spacing w:after="0" w:line="240" w:lineRule="auto"/>
              <w:rPr>
                <w:rFonts w:ascii="Arial" w:hAnsi="Arial" w:cs="Arial"/>
                <w:sz w:val="20"/>
                <w:szCs w:val="20"/>
              </w:rPr>
            </w:pPr>
          </w:p>
        </w:tc>
      </w:tr>
      <w:tr w:rsidR="00DD79BD" w:rsidRPr="006B322B" w:rsidTr="00211B17">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3"/>
            <w:shd w:val="clear" w:color="auto" w:fill="FFFF00"/>
          </w:tcPr>
          <w:p w:rsidR="00DD79BD" w:rsidRPr="006B322B" w:rsidRDefault="00DD79BD" w:rsidP="00AF72A9">
            <w:pPr>
              <w:autoSpaceDE w:val="0"/>
              <w:autoSpaceDN w:val="0"/>
              <w:adjustRightInd w:val="0"/>
              <w:spacing w:after="0" w:line="240" w:lineRule="auto"/>
              <w:ind w:left="150"/>
              <w:rPr>
                <w:rFonts w:ascii="Arial" w:hAnsi="Arial" w:cs="Arial"/>
                <w:sz w:val="20"/>
                <w:szCs w:val="20"/>
              </w:rPr>
            </w:pPr>
            <w:r w:rsidRPr="006B322B">
              <w:rPr>
                <w:rFonts w:ascii="Arial" w:hAnsi="Arial" w:cs="Arial"/>
                <w:b/>
                <w:bCs/>
                <w:sz w:val="20"/>
                <w:szCs w:val="20"/>
              </w:rPr>
              <w:t>ODDIEL 5: Protipožiarne opatrenia</w:t>
            </w:r>
          </w:p>
        </w:tc>
      </w:tr>
    </w:tbl>
    <w:p w:rsidR="00DD79BD" w:rsidRPr="006B322B"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6B322B"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4C5630" w:rsidP="002133D0">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Pena odolná alkoholu, oxid uhličitý, prášok, voda - striekajúci prúd, vodná hmla.</w:t>
            </w:r>
          </w:p>
        </w:tc>
      </w:tr>
      <w:tr w:rsidR="00DD79BD" w:rsidRPr="006B322B"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4C5630" w:rsidP="002133D0">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Voda - plný prúd.</w:t>
            </w:r>
          </w:p>
        </w:tc>
      </w:tr>
      <w:tr w:rsidR="00DD79BD" w:rsidRPr="006B322B"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2133D0" w:rsidP="002133D0">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Pri požiari môže dochádzať k vzniku oxidu uhoľnatého a uhličitého a ďalších toxických plynov. Vdychovanie nebezpečných rozkladných (</w:t>
            </w:r>
            <w:proofErr w:type="spellStart"/>
            <w:r w:rsidRPr="006B322B">
              <w:rPr>
                <w:rFonts w:ascii="Arial" w:hAnsi="Arial" w:cs="Arial"/>
                <w:sz w:val="20"/>
                <w:szCs w:val="20"/>
              </w:rPr>
              <w:t>pyrolýznych</w:t>
            </w:r>
            <w:proofErr w:type="spellEnd"/>
            <w:r w:rsidRPr="006B322B">
              <w:rPr>
                <w:rFonts w:ascii="Arial" w:hAnsi="Arial" w:cs="Arial"/>
                <w:sz w:val="20"/>
                <w:szCs w:val="20"/>
              </w:rPr>
              <w:t xml:space="preserve">) produktov môže spôsobiť vážne poškodenie zdravia. </w:t>
            </w:r>
          </w:p>
        </w:tc>
      </w:tr>
      <w:tr w:rsidR="00DD79BD" w:rsidRPr="006B322B"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310718" w:rsidP="00310718">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6B322B">
              <w:rPr>
                <w:rFonts w:ascii="Arial" w:hAnsi="Arial" w:cs="Arial"/>
                <w:sz w:val="20"/>
                <w:szCs w:val="20"/>
              </w:rPr>
              <w:t>hasivo</w:t>
            </w:r>
            <w:proofErr w:type="spellEnd"/>
            <w:r w:rsidRPr="006B322B">
              <w:rPr>
                <w:rFonts w:ascii="Arial" w:hAnsi="Arial" w:cs="Arial"/>
                <w:sz w:val="20"/>
                <w:szCs w:val="20"/>
              </w:rPr>
              <w:t xml:space="preserve"> nenechajte uniknúť do kanalizácie, povrchových a podzemných vôd.</w:t>
            </w:r>
          </w:p>
        </w:tc>
      </w:tr>
      <w:tr w:rsidR="00DD79BD" w:rsidRPr="006B322B"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neuvádza sa</w:t>
            </w:r>
          </w:p>
        </w:tc>
      </w:tr>
    </w:tbl>
    <w:p w:rsidR="00DD79BD" w:rsidRPr="006B322B"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322B" w:rsidTr="00DD79BD">
        <w:tc>
          <w:tcPr>
            <w:tcW w:w="9072" w:type="dxa"/>
            <w:shd w:val="clear" w:color="auto" w:fill="FFFF00"/>
          </w:tcPr>
          <w:p w:rsidR="00DD79BD" w:rsidRPr="006B322B" w:rsidRDefault="00DD79BD" w:rsidP="00DD79BD">
            <w:pPr>
              <w:autoSpaceDE w:val="0"/>
              <w:autoSpaceDN w:val="0"/>
              <w:adjustRightInd w:val="0"/>
              <w:spacing w:after="0" w:line="240" w:lineRule="auto"/>
              <w:ind w:left="150"/>
              <w:rPr>
                <w:rFonts w:ascii="Arial" w:hAnsi="Arial" w:cs="Arial"/>
                <w:sz w:val="20"/>
                <w:szCs w:val="20"/>
              </w:rPr>
            </w:pPr>
            <w:r w:rsidRPr="006B322B">
              <w:rPr>
                <w:rFonts w:ascii="Arial" w:hAnsi="Arial" w:cs="Arial"/>
                <w:b/>
                <w:bCs/>
                <w:sz w:val="20"/>
                <w:szCs w:val="20"/>
              </w:rPr>
              <w:t>ODDIEL 6: Opatrenia pri náhodnom uvoľnení</w:t>
            </w:r>
          </w:p>
        </w:tc>
      </w:tr>
    </w:tbl>
    <w:p w:rsidR="00DD79BD" w:rsidRPr="006B322B"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656C5E" w:rsidP="00763E56">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Používajte osobné ochranné pracovné prostriedky. Postupujte podľa pokynov, obsiahnutých v oddieloch 7 a 8. Nevdychujte aerosóly. Zabráňte kontaktu s pokožkou a očami.</w:t>
            </w:r>
          </w:p>
        </w:tc>
      </w:tr>
      <w:tr w:rsidR="00DD79BD"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2133D0" w:rsidP="002133D0">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Zabráňte kontaminácii pôdy a úniku do povrchových alebo podzemných vôd. </w:t>
            </w:r>
          </w:p>
        </w:tc>
      </w:tr>
      <w:tr w:rsidR="00DD79BD"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763E56"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2133D0"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7, </w:t>
            </w:r>
            <w:r w:rsidR="00DD79BD" w:rsidRPr="006B322B">
              <w:rPr>
                <w:rFonts w:ascii="Arial" w:hAnsi="Arial" w:cs="Arial"/>
                <w:sz w:val="20"/>
                <w:szCs w:val="20"/>
              </w:rPr>
              <w:t>8, 13</w:t>
            </w:r>
          </w:p>
        </w:tc>
      </w:tr>
    </w:tbl>
    <w:p w:rsidR="00DD79BD" w:rsidRPr="006B322B"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322B" w:rsidTr="00DD79BD">
        <w:tc>
          <w:tcPr>
            <w:tcW w:w="9072" w:type="dxa"/>
            <w:shd w:val="clear" w:color="auto" w:fill="FFFF00"/>
          </w:tcPr>
          <w:p w:rsidR="00DD79BD" w:rsidRPr="006B322B" w:rsidRDefault="00DD79BD" w:rsidP="00DD79BD">
            <w:pPr>
              <w:autoSpaceDE w:val="0"/>
              <w:autoSpaceDN w:val="0"/>
              <w:adjustRightInd w:val="0"/>
              <w:spacing w:after="0" w:line="240" w:lineRule="auto"/>
              <w:ind w:left="150"/>
              <w:rPr>
                <w:rFonts w:ascii="Arial" w:hAnsi="Arial" w:cs="Arial"/>
                <w:sz w:val="20"/>
                <w:szCs w:val="20"/>
              </w:rPr>
            </w:pPr>
            <w:r w:rsidRPr="006B322B">
              <w:rPr>
                <w:rFonts w:ascii="Arial" w:hAnsi="Arial" w:cs="Arial"/>
                <w:b/>
                <w:bCs/>
                <w:sz w:val="20"/>
                <w:szCs w:val="20"/>
              </w:rPr>
              <w:t>ODDIEL 7: Zaobchádzanie a skladovanie</w:t>
            </w:r>
          </w:p>
        </w:tc>
      </w:tr>
    </w:tbl>
    <w:p w:rsidR="00DD79BD" w:rsidRPr="006B322B"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656C5E" w:rsidP="002133D0">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Nevdychujte aerosóly. Zabráňte kontaktu s pokožkou a očami. Po manipulácii starostlivo umyte ruky a zasiahnuté časti tela. Používajte iba na voľnom priestranstve alebo v dobre vetranom priestore. Používajte osobné ochranné pracovné prostriedky </w:t>
            </w:r>
            <w:r w:rsidRPr="006B322B">
              <w:rPr>
                <w:rFonts w:ascii="Arial" w:hAnsi="Arial" w:cs="Arial"/>
                <w:sz w:val="20"/>
                <w:szCs w:val="20"/>
              </w:rPr>
              <w:lastRenderedPageBreak/>
              <w:t>podľa oddielu 8. Dbajte na platné právne predpisy o bezpečnosti a ochrane zdravia.</w:t>
            </w:r>
          </w:p>
        </w:tc>
      </w:tr>
      <w:tr w:rsidR="00DD79BD"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lastRenderedPageBreak/>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656C5E" w:rsidP="00CE0639">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Skladujte v tesne uzavretých obaloch na chladných, suchých a dobre vetraných miestach na to určených. Uchovávajte uzamknuté. Nádobu uchovávajte tesne uzavretú. </w:t>
            </w:r>
          </w:p>
          <w:p w:rsidR="00860B4D" w:rsidRPr="006B322B" w:rsidRDefault="006B322B" w:rsidP="00CE0639">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Skladovacia trieda 12 - Nehorľavé kvapaliny v nehorľavých obaloch</w:t>
            </w:r>
          </w:p>
        </w:tc>
      </w:tr>
      <w:tr w:rsidR="00DD79BD"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neuvádzajú sa</w:t>
            </w:r>
          </w:p>
        </w:tc>
      </w:tr>
    </w:tbl>
    <w:p w:rsidR="00DD79BD" w:rsidRPr="006B322B"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322B" w:rsidTr="00DD79BD">
        <w:tc>
          <w:tcPr>
            <w:tcW w:w="9072" w:type="dxa"/>
            <w:shd w:val="clear" w:color="auto" w:fill="FFFF00"/>
          </w:tcPr>
          <w:p w:rsidR="00DD79BD" w:rsidRPr="006B322B" w:rsidRDefault="00DD79BD" w:rsidP="00DD79BD">
            <w:pPr>
              <w:autoSpaceDE w:val="0"/>
              <w:autoSpaceDN w:val="0"/>
              <w:adjustRightInd w:val="0"/>
              <w:spacing w:after="0" w:line="240" w:lineRule="auto"/>
              <w:ind w:left="150"/>
              <w:rPr>
                <w:rFonts w:ascii="Arial" w:hAnsi="Arial" w:cs="Arial"/>
                <w:sz w:val="20"/>
                <w:szCs w:val="20"/>
              </w:rPr>
            </w:pPr>
            <w:r w:rsidRPr="006B322B">
              <w:rPr>
                <w:rFonts w:ascii="Arial" w:hAnsi="Arial" w:cs="Arial"/>
                <w:b/>
                <w:bCs/>
                <w:sz w:val="20"/>
                <w:szCs w:val="20"/>
              </w:rPr>
              <w:t>ODDIEL 8: Kontroly expozície/osobná ochrana</w:t>
            </w:r>
          </w:p>
        </w:tc>
      </w:tr>
    </w:tbl>
    <w:p w:rsidR="00DD79BD" w:rsidRPr="006B322B"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6B322B"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2133D0"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NPEL:</w:t>
            </w:r>
          </w:p>
          <w:p w:rsidR="00DD79BD" w:rsidRPr="006B322B" w:rsidRDefault="00656C5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žiadne</w:t>
            </w:r>
          </w:p>
        </w:tc>
      </w:tr>
      <w:tr w:rsidR="00DD79BD" w:rsidRPr="006B322B"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763E56" w:rsidP="002133D0">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6B322B"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DD79BD"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Ochrana dýchacích orgánov: </w:t>
            </w:r>
            <w:r w:rsidR="00860B4D" w:rsidRPr="006B322B">
              <w:rPr>
                <w:rFonts w:ascii="Arial" w:hAnsi="Arial" w:cs="Arial"/>
                <w:sz w:val="20"/>
                <w:szCs w:val="20"/>
              </w:rPr>
              <w:t>Maska s filtrom v zle vetrateľnom prostredí.</w:t>
            </w:r>
          </w:p>
          <w:p w:rsidR="00DD79BD" w:rsidRPr="006B322B" w:rsidRDefault="00DD79BD"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Ochrana očí: </w:t>
            </w:r>
            <w:r w:rsidR="00860B4D" w:rsidRPr="006B322B">
              <w:rPr>
                <w:rFonts w:ascii="Arial" w:hAnsi="Arial" w:cs="Arial"/>
                <w:sz w:val="20"/>
                <w:szCs w:val="20"/>
              </w:rPr>
              <w:t>Ochranné okuliare alebo štít na tvár (podľa charakteru vykonávanej práce).</w:t>
            </w:r>
          </w:p>
          <w:p w:rsidR="00763E56" w:rsidRPr="006B322B" w:rsidRDefault="00DD79BD"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Ochrana rúk:</w:t>
            </w:r>
            <w:r w:rsidR="00763E56" w:rsidRPr="006B322B">
              <w:rPr>
                <w:rFonts w:ascii="Arial" w:hAnsi="Arial" w:cs="Arial"/>
                <w:sz w:val="20"/>
                <w:szCs w:val="20"/>
              </w:rPr>
              <w:t xml:space="preserve"> </w:t>
            </w:r>
            <w:r w:rsidR="00656C5E" w:rsidRPr="006B322B">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6B322B" w:rsidRDefault="00DD79BD"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Ochrana tela: </w:t>
            </w:r>
            <w:r w:rsidR="00763E56" w:rsidRPr="006B322B">
              <w:rPr>
                <w:rFonts w:ascii="Arial" w:hAnsi="Arial" w:cs="Arial"/>
                <w:sz w:val="20"/>
                <w:szCs w:val="20"/>
              </w:rPr>
              <w:t xml:space="preserve">Ochranný pracovný odev. Znečistenú pokožku dôkladne umyte. </w:t>
            </w:r>
          </w:p>
          <w:p w:rsidR="002133D0" w:rsidRPr="006B322B" w:rsidRDefault="002133D0"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Tepelná nebezpečnosť Neuvedené.</w:t>
            </w:r>
          </w:p>
        </w:tc>
      </w:tr>
      <w:tr w:rsidR="00DD79BD" w:rsidRPr="006B322B"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CE0639"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Dbajte na obvyklé opatrenia na ochranu životného prostredia, viď bod 6.2. Zabráňte vniknutiu do pôdy, povrchovej vody alebo kanalizácie</w:t>
            </w:r>
          </w:p>
        </w:tc>
      </w:tr>
    </w:tbl>
    <w:p w:rsidR="00DD79BD" w:rsidRPr="006B322B"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322B" w:rsidTr="00DD79BD">
        <w:tc>
          <w:tcPr>
            <w:tcW w:w="9072" w:type="dxa"/>
            <w:shd w:val="clear" w:color="auto" w:fill="FFFF00"/>
          </w:tcPr>
          <w:p w:rsidR="00DD79BD" w:rsidRPr="006B322B" w:rsidRDefault="00DD79BD" w:rsidP="00DD79BD">
            <w:pPr>
              <w:autoSpaceDE w:val="0"/>
              <w:autoSpaceDN w:val="0"/>
              <w:adjustRightInd w:val="0"/>
              <w:spacing w:after="0" w:line="240" w:lineRule="auto"/>
              <w:ind w:left="150"/>
              <w:rPr>
                <w:rFonts w:ascii="Arial" w:hAnsi="Arial" w:cs="Arial"/>
                <w:sz w:val="20"/>
                <w:szCs w:val="20"/>
              </w:rPr>
            </w:pPr>
            <w:r w:rsidRPr="006B322B">
              <w:rPr>
                <w:rFonts w:ascii="Arial" w:hAnsi="Arial" w:cs="Arial"/>
                <w:b/>
                <w:bCs/>
                <w:sz w:val="20"/>
                <w:szCs w:val="20"/>
              </w:rPr>
              <w:t>ODDIEL 9: Fyzikálne a chemické vlastnosti</w:t>
            </w:r>
          </w:p>
        </w:tc>
      </w:tr>
    </w:tbl>
    <w:p w:rsidR="00DD79BD" w:rsidRPr="006B322B"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6B322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453EDA" w:rsidP="00453EDA">
            <w:pPr>
              <w:autoSpaceDE w:val="0"/>
              <w:autoSpaceDN w:val="0"/>
              <w:adjustRightInd w:val="0"/>
              <w:spacing w:after="0" w:line="240" w:lineRule="auto"/>
              <w:jc w:val="center"/>
              <w:rPr>
                <w:rFonts w:ascii="Arial" w:hAnsi="Arial" w:cs="Arial"/>
                <w:sz w:val="20"/>
                <w:szCs w:val="20"/>
              </w:rPr>
            </w:pPr>
            <w:r w:rsidRPr="006B322B">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453EDA">
            <w:pPr>
              <w:autoSpaceDE w:val="0"/>
              <w:autoSpaceDN w:val="0"/>
              <w:adjustRightInd w:val="0"/>
              <w:spacing w:after="0" w:line="240" w:lineRule="auto"/>
              <w:jc w:val="center"/>
              <w:rPr>
                <w:rFonts w:ascii="Arial" w:hAnsi="Arial" w:cs="Arial"/>
                <w:sz w:val="20"/>
                <w:szCs w:val="20"/>
              </w:rPr>
            </w:pPr>
            <w:r w:rsidRPr="006B322B">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453EDA" w:rsidP="00453EDA">
            <w:pPr>
              <w:autoSpaceDE w:val="0"/>
              <w:autoSpaceDN w:val="0"/>
              <w:adjustRightInd w:val="0"/>
              <w:spacing w:after="0" w:line="240" w:lineRule="auto"/>
              <w:jc w:val="center"/>
              <w:rPr>
                <w:rFonts w:ascii="Arial" w:hAnsi="Arial" w:cs="Arial"/>
                <w:sz w:val="20"/>
                <w:szCs w:val="20"/>
              </w:rPr>
            </w:pPr>
            <w:r w:rsidRPr="006B322B">
              <w:rPr>
                <w:rFonts w:ascii="Arial" w:hAnsi="Arial" w:cs="Arial"/>
                <w:sz w:val="20"/>
                <w:szCs w:val="20"/>
              </w:rPr>
              <w:t>Metóda</w:t>
            </w:r>
          </w:p>
        </w:tc>
      </w:tr>
      <w:tr w:rsidR="000477F4" w:rsidRPr="006B322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B322B" w:rsidRDefault="000477F4" w:rsidP="000477F4">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6B322B" w:rsidRPr="006B322B" w:rsidRDefault="006B322B"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 xml:space="preserve">Pasta </w:t>
            </w:r>
          </w:p>
          <w:p w:rsidR="000477F4" w:rsidRPr="006B322B" w:rsidRDefault="00763E56"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B322B"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B322B" w:rsidRDefault="000477F4" w:rsidP="000477F4">
            <w:pPr>
              <w:spacing w:after="0"/>
              <w:rPr>
                <w:rFonts w:ascii="Arial" w:hAnsi="Arial" w:cs="Arial"/>
                <w:sz w:val="20"/>
                <w:szCs w:val="20"/>
              </w:rPr>
            </w:pPr>
          </w:p>
        </w:tc>
      </w:tr>
      <w:tr w:rsidR="000477F4" w:rsidRPr="006B322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B322B" w:rsidRDefault="000477F4" w:rsidP="000477F4">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6B322B" w:rsidRDefault="006B322B"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sivá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B322B"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B322B" w:rsidRDefault="000477F4" w:rsidP="000477F4">
            <w:pPr>
              <w:spacing w:after="0"/>
              <w:rPr>
                <w:rFonts w:ascii="Arial" w:hAnsi="Arial" w:cs="Arial"/>
                <w:sz w:val="20"/>
                <w:szCs w:val="20"/>
              </w:rPr>
            </w:pPr>
          </w:p>
        </w:tc>
      </w:tr>
      <w:tr w:rsidR="000477F4" w:rsidRPr="006B322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B322B" w:rsidRDefault="000477F4" w:rsidP="000477F4">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6B322B" w:rsidRDefault="00577862"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B322B"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B322B" w:rsidRDefault="000477F4" w:rsidP="000477F4">
            <w:pPr>
              <w:spacing w:after="0"/>
              <w:rPr>
                <w:rFonts w:ascii="Arial" w:hAnsi="Arial" w:cs="Arial"/>
                <w:sz w:val="20"/>
                <w:szCs w:val="20"/>
              </w:rPr>
            </w:pPr>
          </w:p>
        </w:tc>
      </w:tr>
      <w:tr w:rsidR="00453EDA" w:rsidRPr="006B322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spacing w:after="0"/>
              <w:rPr>
                <w:rFonts w:ascii="Arial" w:hAnsi="Arial" w:cs="Arial"/>
                <w:sz w:val="20"/>
                <w:szCs w:val="20"/>
              </w:rPr>
            </w:pPr>
          </w:p>
        </w:tc>
      </w:tr>
      <w:tr w:rsidR="00453EDA" w:rsidRPr="006B322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Teplota varu alebo počiatočná teplota varu a rozmedzie  mäknutia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6B322B"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spacing w:after="0"/>
              <w:rPr>
                <w:rFonts w:ascii="Arial" w:hAnsi="Arial" w:cs="Arial"/>
                <w:sz w:val="20"/>
                <w:szCs w:val="20"/>
              </w:rPr>
            </w:pPr>
          </w:p>
        </w:tc>
      </w:tr>
      <w:tr w:rsidR="00453EDA" w:rsidRPr="006B322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spacing w:after="0"/>
              <w:rPr>
                <w:rFonts w:ascii="Arial" w:hAnsi="Arial" w:cs="Arial"/>
                <w:sz w:val="20"/>
                <w:szCs w:val="20"/>
              </w:rPr>
            </w:pPr>
          </w:p>
        </w:tc>
      </w:tr>
      <w:tr w:rsidR="00453EDA" w:rsidRPr="006B322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656C5E"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763E56" w:rsidP="00453EDA">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spacing w:after="0"/>
              <w:rPr>
                <w:rFonts w:ascii="Arial" w:hAnsi="Arial" w:cs="Arial"/>
                <w:sz w:val="20"/>
                <w:szCs w:val="20"/>
              </w:rPr>
            </w:pPr>
          </w:p>
        </w:tc>
      </w:tr>
      <w:tr w:rsidR="00453EDA" w:rsidRPr="006B322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6B322B"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spacing w:after="0"/>
              <w:rPr>
                <w:rFonts w:ascii="Arial" w:hAnsi="Arial" w:cs="Arial"/>
                <w:sz w:val="20"/>
                <w:szCs w:val="20"/>
              </w:rPr>
            </w:pPr>
          </w:p>
        </w:tc>
      </w:tr>
      <w:tr w:rsidR="00453EDA" w:rsidRPr="006B322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spacing w:after="0"/>
              <w:rPr>
                <w:rFonts w:ascii="Arial" w:hAnsi="Arial" w:cs="Arial"/>
                <w:sz w:val="20"/>
                <w:szCs w:val="20"/>
              </w:rPr>
            </w:pPr>
          </w:p>
        </w:tc>
      </w:tr>
      <w:tr w:rsidR="00453EDA" w:rsidRPr="006B322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lastRenderedPageBreak/>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6B322B"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&gt; 150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6B322B" w:rsidP="00453EDA">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spacing w:after="0"/>
              <w:rPr>
                <w:rFonts w:ascii="Arial" w:hAnsi="Arial" w:cs="Arial"/>
                <w:sz w:val="20"/>
                <w:szCs w:val="20"/>
              </w:rPr>
            </w:pPr>
          </w:p>
        </w:tc>
      </w:tr>
      <w:tr w:rsidR="00453EDA" w:rsidRPr="006B322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spacing w:after="0"/>
              <w:rPr>
                <w:rFonts w:ascii="Arial" w:hAnsi="Arial" w:cs="Arial"/>
                <w:sz w:val="20"/>
                <w:szCs w:val="20"/>
              </w:rPr>
            </w:pPr>
          </w:p>
        </w:tc>
      </w:tr>
      <w:tr w:rsidR="00860B4D" w:rsidRPr="006B322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860B4D" w:rsidRPr="006B322B" w:rsidRDefault="00860B4D" w:rsidP="00860B4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60B4D" w:rsidRPr="006B322B" w:rsidRDefault="00860B4D" w:rsidP="00860B4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0B4D" w:rsidRPr="006B322B" w:rsidRDefault="00860B4D" w:rsidP="00860B4D">
            <w:pPr>
              <w:autoSpaceDE w:val="0"/>
              <w:autoSpaceDN w:val="0"/>
              <w:adjustRightInd w:val="0"/>
              <w:spacing w:after="0" w:line="240" w:lineRule="auto"/>
              <w:rPr>
                <w:rFonts w:ascii="Arial" w:hAnsi="Arial" w:cs="Arial"/>
                <w:sz w:val="20"/>
                <w:szCs w:val="20"/>
              </w:rPr>
            </w:pPr>
            <w:proofErr w:type="spellStart"/>
            <w:r w:rsidRPr="006B322B">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0B4D" w:rsidRPr="006B322B" w:rsidRDefault="00860B4D" w:rsidP="00860B4D">
            <w:pPr>
              <w:spacing w:after="0"/>
              <w:rPr>
                <w:rFonts w:ascii="Arial" w:hAnsi="Arial" w:cs="Arial"/>
                <w:sz w:val="20"/>
                <w:szCs w:val="20"/>
              </w:rPr>
            </w:pPr>
          </w:p>
        </w:tc>
      </w:tr>
      <w:tr w:rsidR="00860B4D" w:rsidRPr="006B322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860B4D" w:rsidRPr="006B322B" w:rsidRDefault="00860B4D" w:rsidP="00860B4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60B4D" w:rsidRPr="006B322B" w:rsidRDefault="006B322B" w:rsidP="00860B4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Vo vode 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0B4D" w:rsidRPr="006B322B" w:rsidRDefault="00860B4D" w:rsidP="00860B4D">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0B4D" w:rsidRPr="006B322B" w:rsidRDefault="00860B4D" w:rsidP="00860B4D">
            <w:pPr>
              <w:spacing w:after="0"/>
              <w:rPr>
                <w:rFonts w:ascii="Arial" w:hAnsi="Arial" w:cs="Arial"/>
                <w:sz w:val="20"/>
                <w:szCs w:val="20"/>
              </w:rPr>
            </w:pPr>
          </w:p>
        </w:tc>
      </w:tr>
      <w:tr w:rsidR="00860B4D" w:rsidRPr="006B322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860B4D" w:rsidRPr="006B322B" w:rsidRDefault="00860B4D" w:rsidP="00860B4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60B4D" w:rsidRPr="006B322B" w:rsidRDefault="00860B4D" w:rsidP="00860B4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0B4D" w:rsidRPr="006B322B" w:rsidRDefault="00860B4D" w:rsidP="00860B4D">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0B4D" w:rsidRPr="006B322B" w:rsidRDefault="00860B4D" w:rsidP="00860B4D">
            <w:pPr>
              <w:autoSpaceDE w:val="0"/>
              <w:autoSpaceDN w:val="0"/>
              <w:adjustRightInd w:val="0"/>
              <w:spacing w:after="0" w:line="240" w:lineRule="auto"/>
              <w:ind w:left="90"/>
              <w:rPr>
                <w:rFonts w:ascii="Arial" w:hAnsi="Arial" w:cs="Arial"/>
                <w:sz w:val="20"/>
                <w:szCs w:val="20"/>
              </w:rPr>
            </w:pPr>
          </w:p>
        </w:tc>
      </w:tr>
      <w:tr w:rsidR="00860B4D" w:rsidRPr="006B322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860B4D" w:rsidRPr="006B322B" w:rsidRDefault="00860B4D" w:rsidP="00860B4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60B4D" w:rsidRPr="006B322B" w:rsidRDefault="00860B4D" w:rsidP="00860B4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0B4D" w:rsidRPr="006B322B" w:rsidRDefault="00860B4D" w:rsidP="00860B4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 xml:space="preserve">mm Hg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0B4D" w:rsidRPr="006B322B" w:rsidRDefault="00860B4D" w:rsidP="00860B4D">
            <w:pPr>
              <w:autoSpaceDE w:val="0"/>
              <w:autoSpaceDN w:val="0"/>
              <w:adjustRightInd w:val="0"/>
              <w:spacing w:after="0" w:line="240" w:lineRule="auto"/>
              <w:ind w:left="90"/>
              <w:rPr>
                <w:rFonts w:ascii="Arial" w:hAnsi="Arial" w:cs="Arial"/>
                <w:sz w:val="20"/>
                <w:szCs w:val="20"/>
              </w:rPr>
            </w:pPr>
          </w:p>
        </w:tc>
      </w:tr>
      <w:tr w:rsidR="00860B4D" w:rsidRPr="006B322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860B4D" w:rsidRPr="006B322B" w:rsidRDefault="00860B4D" w:rsidP="00860B4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60B4D" w:rsidRPr="006B322B" w:rsidRDefault="006B322B" w:rsidP="00860B4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1,35-1,45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0B4D" w:rsidRPr="006B322B" w:rsidRDefault="00860B4D" w:rsidP="00860B4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0B4D" w:rsidRPr="006B322B" w:rsidRDefault="00860B4D" w:rsidP="00860B4D">
            <w:pPr>
              <w:autoSpaceDE w:val="0"/>
              <w:autoSpaceDN w:val="0"/>
              <w:adjustRightInd w:val="0"/>
              <w:spacing w:after="0" w:line="240" w:lineRule="auto"/>
              <w:ind w:left="90"/>
              <w:rPr>
                <w:rFonts w:ascii="Arial" w:hAnsi="Arial" w:cs="Arial"/>
                <w:sz w:val="20"/>
                <w:szCs w:val="20"/>
              </w:rPr>
            </w:pPr>
          </w:p>
        </w:tc>
      </w:tr>
      <w:tr w:rsidR="00453EDA" w:rsidRPr="006B322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ind w:left="90"/>
              <w:rPr>
                <w:rFonts w:ascii="Arial" w:hAnsi="Arial" w:cs="Arial"/>
                <w:sz w:val="20"/>
                <w:szCs w:val="20"/>
              </w:rPr>
            </w:pPr>
          </w:p>
        </w:tc>
      </w:tr>
      <w:tr w:rsidR="00453EDA" w:rsidRPr="006B322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ind w:left="90"/>
              <w:rPr>
                <w:rFonts w:ascii="Arial" w:hAnsi="Arial" w:cs="Arial"/>
                <w:sz w:val="20"/>
                <w:szCs w:val="20"/>
              </w:rPr>
            </w:pPr>
          </w:p>
        </w:tc>
      </w:tr>
      <w:tr w:rsidR="000477F4"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B322B" w:rsidRDefault="000477F4" w:rsidP="000477F4">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6B322B" w:rsidRDefault="006B322B"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obsah organických rozpúšťadiel (VOC) 0</w:t>
            </w:r>
          </w:p>
        </w:tc>
      </w:tr>
    </w:tbl>
    <w:p w:rsidR="00DD79BD" w:rsidRPr="006B322B"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322B" w:rsidTr="00DD79BD">
        <w:tc>
          <w:tcPr>
            <w:tcW w:w="9072" w:type="dxa"/>
            <w:shd w:val="clear" w:color="auto" w:fill="FFFF00"/>
          </w:tcPr>
          <w:p w:rsidR="00DD79BD" w:rsidRPr="006B322B" w:rsidRDefault="00DD79BD" w:rsidP="00DD79BD">
            <w:pPr>
              <w:autoSpaceDE w:val="0"/>
              <w:autoSpaceDN w:val="0"/>
              <w:adjustRightInd w:val="0"/>
              <w:spacing w:after="0" w:line="240" w:lineRule="auto"/>
              <w:ind w:left="150"/>
              <w:rPr>
                <w:rFonts w:ascii="Arial" w:hAnsi="Arial" w:cs="Arial"/>
                <w:sz w:val="20"/>
                <w:szCs w:val="20"/>
              </w:rPr>
            </w:pPr>
            <w:r w:rsidRPr="006B322B">
              <w:rPr>
                <w:rFonts w:ascii="Arial" w:hAnsi="Arial" w:cs="Arial"/>
                <w:b/>
                <w:bCs/>
                <w:sz w:val="20"/>
                <w:szCs w:val="20"/>
              </w:rPr>
              <w:t>ODDIEL 10: Stabilita a reaktivita</w:t>
            </w:r>
          </w:p>
        </w:tc>
      </w:tr>
    </w:tbl>
    <w:p w:rsidR="00DD79BD" w:rsidRPr="006B322B"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Neuvádza sa</w:t>
            </w:r>
          </w:p>
        </w:tc>
      </w:tr>
      <w:tr w:rsidR="00DD79BD"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 xml:space="preserve">Za bežných podmienok je zmes stabilná. </w:t>
            </w:r>
          </w:p>
        </w:tc>
      </w:tr>
      <w:tr w:rsidR="00DD79BD"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453EDA"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N</w:t>
            </w:r>
            <w:r w:rsidR="00DD79BD" w:rsidRPr="006B322B">
              <w:rPr>
                <w:rFonts w:ascii="Arial" w:hAnsi="Arial" w:cs="Arial"/>
                <w:sz w:val="20"/>
                <w:szCs w:val="20"/>
              </w:rPr>
              <w:t>ie</w:t>
            </w:r>
            <w:r w:rsidRPr="006B322B">
              <w:rPr>
                <w:rFonts w:ascii="Arial" w:hAnsi="Arial" w:cs="Arial"/>
                <w:sz w:val="20"/>
                <w:szCs w:val="20"/>
              </w:rPr>
              <w:t xml:space="preserve"> </w:t>
            </w:r>
            <w:r w:rsidR="00DD79BD" w:rsidRPr="006B322B">
              <w:rPr>
                <w:rFonts w:ascii="Arial" w:hAnsi="Arial" w:cs="Arial"/>
                <w:sz w:val="20"/>
                <w:szCs w:val="20"/>
              </w:rPr>
              <w:t>sú známe</w:t>
            </w:r>
            <w:r w:rsidRPr="006B322B">
              <w:rPr>
                <w:rFonts w:ascii="Arial" w:hAnsi="Arial" w:cs="Arial"/>
                <w:sz w:val="20"/>
                <w:szCs w:val="20"/>
              </w:rPr>
              <w:t xml:space="preserve">. </w:t>
            </w:r>
          </w:p>
        </w:tc>
      </w:tr>
      <w:tr w:rsidR="00DD79BD"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763E56" w:rsidP="00656C5E">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Pri normálnom spôsobe použitia je produkt stabilný, k rozkladu nedochádza. Chráňte pred plameňmi, iskr</w:t>
            </w:r>
            <w:r w:rsidR="00656C5E" w:rsidRPr="006B322B">
              <w:rPr>
                <w:rFonts w:ascii="Arial" w:hAnsi="Arial" w:cs="Arial"/>
                <w:sz w:val="20"/>
                <w:szCs w:val="20"/>
              </w:rPr>
              <w:t xml:space="preserve">ami, prehriatím a pred mrazom. </w:t>
            </w:r>
          </w:p>
        </w:tc>
      </w:tr>
      <w:tr w:rsidR="00DD79BD"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453EDA"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453EDA"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 xml:space="preserve">Chráňte pred silnými kyselinami, zásadami a oxidačnými činidlami. </w:t>
            </w:r>
          </w:p>
        </w:tc>
      </w:tr>
      <w:tr w:rsidR="00DD79BD"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453EDA"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6B322B"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322B" w:rsidTr="00DD79BD">
        <w:tc>
          <w:tcPr>
            <w:tcW w:w="9072" w:type="dxa"/>
            <w:shd w:val="clear" w:color="auto" w:fill="FFFF00"/>
          </w:tcPr>
          <w:p w:rsidR="00DD79BD" w:rsidRPr="006B322B" w:rsidRDefault="00DD79BD" w:rsidP="00DD79BD">
            <w:pPr>
              <w:autoSpaceDE w:val="0"/>
              <w:autoSpaceDN w:val="0"/>
              <w:adjustRightInd w:val="0"/>
              <w:spacing w:after="0" w:line="240" w:lineRule="auto"/>
              <w:ind w:left="150"/>
              <w:rPr>
                <w:rFonts w:ascii="Arial" w:hAnsi="Arial" w:cs="Arial"/>
                <w:sz w:val="20"/>
                <w:szCs w:val="20"/>
              </w:rPr>
            </w:pPr>
            <w:r w:rsidRPr="006B322B">
              <w:rPr>
                <w:rFonts w:ascii="Arial" w:hAnsi="Arial" w:cs="Arial"/>
                <w:b/>
                <w:bCs/>
                <w:sz w:val="20"/>
                <w:szCs w:val="20"/>
              </w:rPr>
              <w:t>ODDIEL 11: Toxikologické informácie</w:t>
            </w:r>
          </w:p>
        </w:tc>
      </w:tr>
    </w:tbl>
    <w:p w:rsidR="00DD79BD" w:rsidRPr="006B322B" w:rsidRDefault="00DD79BD" w:rsidP="00DD79BD">
      <w:pPr>
        <w:spacing w:after="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2"/>
        <w:gridCol w:w="5875"/>
      </w:tblGrid>
      <w:tr w:rsidR="00DD79BD" w:rsidRPr="006B322B" w:rsidTr="009B2CD6">
        <w:tc>
          <w:tcPr>
            <w:tcW w:w="9077" w:type="dxa"/>
            <w:gridSpan w:val="2"/>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 xml:space="preserve">11.1. </w:t>
            </w:r>
            <w:r w:rsidR="00F537CC" w:rsidRPr="006B322B">
              <w:rPr>
                <w:rFonts w:ascii="Arial" w:hAnsi="Arial" w:cs="Arial"/>
                <w:sz w:val="20"/>
                <w:szCs w:val="20"/>
              </w:rPr>
              <w:t>Informácie o triedach nebezpečnosti vymedzených v nariadení (ES) č. 1272/2008</w:t>
            </w:r>
          </w:p>
        </w:tc>
      </w:tr>
      <w:tr w:rsidR="00DD79BD" w:rsidRPr="006B322B" w:rsidTr="009B2CD6">
        <w:tblPrEx>
          <w:tblBorders>
            <w:top w:val="none" w:sz="0" w:space="0" w:color="auto"/>
            <w:left w:val="none" w:sz="0" w:space="0" w:color="auto"/>
            <w:bottom w:val="none" w:sz="0" w:space="0" w:color="auto"/>
            <w:right w:val="none" w:sz="0" w:space="0" w:color="auto"/>
          </w:tblBorders>
        </w:tblPrEx>
        <w:tc>
          <w:tcPr>
            <w:tcW w:w="320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Akútna toxicita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9E2B14"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Pre zmes nie sú žiadne toxikologické údaje k dispozícii.</w:t>
            </w:r>
          </w:p>
          <w:p w:rsidR="009E2B14" w:rsidRPr="006B322B" w:rsidRDefault="00860B4D"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Zdraviu škodlivý pri požití alebo vdýchnutí.</w:t>
            </w:r>
          </w:p>
        </w:tc>
      </w:tr>
      <w:tr w:rsidR="00453EDA" w:rsidRPr="006B322B" w:rsidTr="009B2CD6">
        <w:tblPrEx>
          <w:tblBorders>
            <w:top w:val="none" w:sz="0" w:space="0" w:color="auto"/>
            <w:left w:val="none" w:sz="0" w:space="0" w:color="auto"/>
            <w:bottom w:val="none" w:sz="0" w:space="0" w:color="auto"/>
            <w:right w:val="none" w:sz="0" w:space="0" w:color="auto"/>
          </w:tblBorders>
        </w:tblPrEx>
        <w:tc>
          <w:tcPr>
            <w:tcW w:w="3202"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Poleptanie kože/podráždenie kože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860B4D"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Spôsobuje vážne poleptanie kože a poškodenie očí.</w:t>
            </w:r>
          </w:p>
        </w:tc>
      </w:tr>
      <w:tr w:rsidR="00453EDA" w:rsidRPr="006B322B" w:rsidTr="009B2CD6">
        <w:tblPrEx>
          <w:tblBorders>
            <w:top w:val="none" w:sz="0" w:space="0" w:color="auto"/>
            <w:left w:val="none" w:sz="0" w:space="0" w:color="auto"/>
            <w:bottom w:val="none" w:sz="0" w:space="0" w:color="auto"/>
            <w:right w:val="none" w:sz="0" w:space="0" w:color="auto"/>
          </w:tblBorders>
        </w:tblPrEx>
        <w:tc>
          <w:tcPr>
            <w:tcW w:w="3202"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Vážne poškodenie očí/podráždenie očí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6B322B"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Spôsobuje vážne poleptanie kože a poškodenie očí. Spôsobuje vážne poškodenie očí.</w:t>
            </w:r>
          </w:p>
        </w:tc>
      </w:tr>
      <w:tr w:rsidR="00453EDA" w:rsidRPr="006B322B" w:rsidTr="009B2CD6">
        <w:tblPrEx>
          <w:tblBorders>
            <w:top w:val="none" w:sz="0" w:space="0" w:color="auto"/>
            <w:left w:val="none" w:sz="0" w:space="0" w:color="auto"/>
            <w:bottom w:val="none" w:sz="0" w:space="0" w:color="auto"/>
            <w:right w:val="none" w:sz="0" w:space="0" w:color="auto"/>
          </w:tblBorders>
        </w:tblPrEx>
        <w:tc>
          <w:tcPr>
            <w:tcW w:w="3202"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Respiračná alebo kožná senzibilizácia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763E56" w:rsidP="00656C5E">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Môže vyvolať alergickú kožnú reakciu.</w:t>
            </w:r>
          </w:p>
        </w:tc>
      </w:tr>
      <w:tr w:rsidR="00453EDA" w:rsidRPr="006B322B" w:rsidTr="009B2CD6">
        <w:tblPrEx>
          <w:tblBorders>
            <w:top w:val="none" w:sz="0" w:space="0" w:color="auto"/>
            <w:left w:val="none" w:sz="0" w:space="0" w:color="auto"/>
            <w:bottom w:val="none" w:sz="0" w:space="0" w:color="auto"/>
            <w:right w:val="none" w:sz="0" w:space="0" w:color="auto"/>
          </w:tblBorders>
        </w:tblPrEx>
        <w:tc>
          <w:tcPr>
            <w:tcW w:w="3202"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Mutagenita zárodočných buniek</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 xml:space="preserve">Na základe dostupných údajov nie sú kritéria pre klasifikáciu splnené. </w:t>
            </w:r>
          </w:p>
        </w:tc>
      </w:tr>
      <w:tr w:rsidR="004068A8" w:rsidRPr="006B322B" w:rsidTr="009B2CD6">
        <w:tblPrEx>
          <w:tblBorders>
            <w:top w:val="none" w:sz="0" w:space="0" w:color="auto"/>
            <w:left w:val="none" w:sz="0" w:space="0" w:color="auto"/>
            <w:bottom w:val="none" w:sz="0" w:space="0" w:color="auto"/>
            <w:right w:val="none" w:sz="0" w:space="0" w:color="auto"/>
          </w:tblBorders>
        </w:tblPrEx>
        <w:tc>
          <w:tcPr>
            <w:tcW w:w="3202" w:type="dxa"/>
            <w:tcBorders>
              <w:top w:val="single" w:sz="4" w:space="0" w:color="auto"/>
              <w:left w:val="single" w:sz="4" w:space="0" w:color="auto"/>
              <w:bottom w:val="single" w:sz="4" w:space="0" w:color="auto"/>
              <w:right w:val="single" w:sz="4" w:space="0" w:color="auto"/>
            </w:tcBorders>
            <w:shd w:val="clear" w:color="auto" w:fill="auto"/>
          </w:tcPr>
          <w:p w:rsidR="004068A8" w:rsidRPr="006B322B" w:rsidRDefault="004068A8" w:rsidP="004068A8">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Karcinogenita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4068A8" w:rsidRPr="006B322B" w:rsidRDefault="004068A8" w:rsidP="004068A8">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 xml:space="preserve">Na základe dostupných údajov nie sú kritéria pre klasifikáciu splnené. </w:t>
            </w:r>
          </w:p>
        </w:tc>
      </w:tr>
      <w:tr w:rsidR="004068A8" w:rsidRPr="006B322B" w:rsidTr="009B2CD6">
        <w:tblPrEx>
          <w:tblBorders>
            <w:top w:val="none" w:sz="0" w:space="0" w:color="auto"/>
            <w:left w:val="none" w:sz="0" w:space="0" w:color="auto"/>
            <w:bottom w:val="none" w:sz="0" w:space="0" w:color="auto"/>
            <w:right w:val="none" w:sz="0" w:space="0" w:color="auto"/>
          </w:tblBorders>
        </w:tblPrEx>
        <w:tc>
          <w:tcPr>
            <w:tcW w:w="3202" w:type="dxa"/>
            <w:tcBorders>
              <w:top w:val="single" w:sz="4" w:space="0" w:color="auto"/>
              <w:left w:val="single" w:sz="4" w:space="0" w:color="auto"/>
              <w:bottom w:val="single" w:sz="4" w:space="0" w:color="auto"/>
              <w:right w:val="single" w:sz="4" w:space="0" w:color="auto"/>
            </w:tcBorders>
            <w:shd w:val="clear" w:color="auto" w:fill="auto"/>
          </w:tcPr>
          <w:p w:rsidR="004068A8" w:rsidRPr="006B322B" w:rsidRDefault="004068A8" w:rsidP="004068A8">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Reprodukčná toxicita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4068A8" w:rsidRPr="006B322B" w:rsidRDefault="004068A8" w:rsidP="004068A8">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 xml:space="preserve">Na základe dostupných údajov nie sú kritéria pre klasifikáciu splnené. </w:t>
            </w:r>
          </w:p>
        </w:tc>
      </w:tr>
      <w:tr w:rsidR="00453EDA" w:rsidRPr="006B322B" w:rsidTr="009B2CD6">
        <w:tblPrEx>
          <w:tblBorders>
            <w:top w:val="none" w:sz="0" w:space="0" w:color="auto"/>
            <w:left w:val="none" w:sz="0" w:space="0" w:color="auto"/>
            <w:bottom w:val="none" w:sz="0" w:space="0" w:color="auto"/>
            <w:right w:val="none" w:sz="0" w:space="0" w:color="auto"/>
          </w:tblBorders>
        </w:tblPrEx>
        <w:tc>
          <w:tcPr>
            <w:tcW w:w="3202"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Toxicita pre špecifický cieľový orgán (STOT) – jednorazová expozícia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860B4D"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Na základe dostupných údajov nie sú kritéria pre klasifikáciu splnené.</w:t>
            </w:r>
          </w:p>
        </w:tc>
      </w:tr>
      <w:tr w:rsidR="00453EDA" w:rsidRPr="006B322B" w:rsidTr="009B2CD6">
        <w:tblPrEx>
          <w:tblBorders>
            <w:top w:val="none" w:sz="0" w:space="0" w:color="auto"/>
            <w:left w:val="none" w:sz="0" w:space="0" w:color="auto"/>
            <w:bottom w:val="none" w:sz="0" w:space="0" w:color="auto"/>
            <w:right w:val="none" w:sz="0" w:space="0" w:color="auto"/>
          </w:tblBorders>
        </w:tblPrEx>
        <w:tc>
          <w:tcPr>
            <w:tcW w:w="3202"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Toxicita pre špecifický cieľový orgán (STOT) – opakovaná expozícia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656C5E"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Na základe dostupných údajov nie sú kritéria pre klasifikáciu splnené.</w:t>
            </w:r>
          </w:p>
        </w:tc>
      </w:tr>
      <w:tr w:rsidR="00453EDA" w:rsidRPr="006B322B" w:rsidTr="009B2CD6">
        <w:tblPrEx>
          <w:tblBorders>
            <w:top w:val="none" w:sz="0" w:space="0" w:color="auto"/>
            <w:left w:val="none" w:sz="0" w:space="0" w:color="auto"/>
            <w:bottom w:val="none" w:sz="0" w:space="0" w:color="auto"/>
            <w:right w:val="none" w:sz="0" w:space="0" w:color="auto"/>
          </w:tblBorders>
        </w:tblPrEx>
        <w:tc>
          <w:tcPr>
            <w:tcW w:w="3202"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Aspiračná nebezpečnosť</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656C5E"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Na základe dostupných údajov nie sú kritéria pre klasifikáciu splnené.</w:t>
            </w:r>
          </w:p>
        </w:tc>
      </w:tr>
      <w:tr w:rsidR="00F537CC" w:rsidRPr="006B322B" w:rsidTr="009B2CD6">
        <w:tblPrEx>
          <w:tblBorders>
            <w:top w:val="none" w:sz="0" w:space="0" w:color="auto"/>
            <w:left w:val="none" w:sz="0" w:space="0" w:color="auto"/>
            <w:bottom w:val="none" w:sz="0" w:space="0" w:color="auto"/>
            <w:right w:val="none" w:sz="0" w:space="0" w:color="auto"/>
          </w:tblBorders>
        </w:tblPrEx>
        <w:tc>
          <w:tcPr>
            <w:tcW w:w="9077" w:type="dxa"/>
            <w:gridSpan w:val="2"/>
            <w:tcBorders>
              <w:top w:val="single" w:sz="4" w:space="0" w:color="auto"/>
              <w:left w:val="single" w:sz="4" w:space="0" w:color="auto"/>
              <w:bottom w:val="single" w:sz="4" w:space="0" w:color="auto"/>
              <w:right w:val="single" w:sz="4" w:space="0" w:color="auto"/>
            </w:tcBorders>
            <w:shd w:val="clear" w:color="auto" w:fill="auto"/>
          </w:tcPr>
          <w:p w:rsidR="009B2CD6" w:rsidRDefault="009B2CD6" w:rsidP="009B2CD6">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lastRenderedPageBreak/>
              <w:t xml:space="preserve">11.2. Informácie o inej nebezpečnosti: </w:t>
            </w:r>
          </w:p>
          <w:p w:rsidR="00F537CC" w:rsidRPr="006B322B" w:rsidRDefault="009B2CD6" w:rsidP="009B2CD6">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 xml:space="preserve">Vlastnosti endokrinných </w:t>
            </w:r>
            <w:proofErr w:type="spellStart"/>
            <w:r w:rsidRPr="00FC48AD">
              <w:rPr>
                <w:rFonts w:ascii="Arial" w:hAnsi="Arial" w:cs="Arial"/>
                <w:sz w:val="20"/>
                <w:szCs w:val="20"/>
              </w:rPr>
              <w:t>disruptorov</w:t>
            </w:r>
            <w:proofErr w:type="spellEnd"/>
            <w:r w:rsidRPr="00FC48AD">
              <w:rPr>
                <w:rFonts w:ascii="Arial" w:hAnsi="Arial" w:cs="Arial"/>
                <w:sz w:val="20"/>
                <w:szCs w:val="20"/>
              </w:rPr>
              <w:t xml:space="preserve"> (rozvracačov)</w:t>
            </w:r>
            <w:r>
              <w:rPr>
                <w:rFonts w:ascii="Arial" w:hAnsi="Arial" w:cs="Arial"/>
                <w:sz w:val="20"/>
                <w:szCs w:val="20"/>
              </w:rPr>
              <w:t>: Zmes ich neobsahuje.</w:t>
            </w:r>
            <w:bookmarkStart w:id="0" w:name="_GoBack"/>
            <w:bookmarkEnd w:id="0"/>
          </w:p>
        </w:tc>
      </w:tr>
    </w:tbl>
    <w:p w:rsidR="009B2CD6" w:rsidRDefault="009B2CD6" w:rsidP="009B2CD6">
      <w:pPr>
        <w:spacing w:after="0"/>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6B322B" w:rsidTr="009B2CD6">
        <w:tc>
          <w:tcPr>
            <w:tcW w:w="9077" w:type="dxa"/>
            <w:shd w:val="clear" w:color="auto" w:fill="FFFF00"/>
          </w:tcPr>
          <w:p w:rsidR="00DD79BD" w:rsidRPr="006B322B" w:rsidRDefault="00DD79BD" w:rsidP="00DD79BD">
            <w:pPr>
              <w:autoSpaceDE w:val="0"/>
              <w:autoSpaceDN w:val="0"/>
              <w:adjustRightInd w:val="0"/>
              <w:spacing w:after="0" w:line="240" w:lineRule="auto"/>
              <w:ind w:left="150"/>
              <w:rPr>
                <w:rFonts w:ascii="Arial" w:hAnsi="Arial" w:cs="Arial"/>
                <w:sz w:val="20"/>
                <w:szCs w:val="20"/>
              </w:rPr>
            </w:pPr>
            <w:r w:rsidRPr="006B322B">
              <w:rPr>
                <w:rFonts w:ascii="Arial" w:hAnsi="Arial" w:cs="Arial"/>
                <w:b/>
                <w:bCs/>
                <w:sz w:val="20"/>
                <w:szCs w:val="20"/>
              </w:rPr>
              <w:t>ODDIEL 12: Ekologické informácie</w:t>
            </w:r>
          </w:p>
        </w:tc>
      </w:tr>
    </w:tbl>
    <w:p w:rsidR="00DD79BD" w:rsidRPr="006B322B"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860B4D"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Toxický pre vodné organizmy, s dlhodobými účinkami.</w:t>
            </w:r>
          </w:p>
        </w:tc>
      </w:tr>
      <w:tr w:rsidR="00DD79BD"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12.2. Perzistencia a</w:t>
            </w:r>
            <w:r w:rsidR="004068A8" w:rsidRPr="006B322B">
              <w:rPr>
                <w:rFonts w:ascii="Arial" w:hAnsi="Arial" w:cs="Arial"/>
                <w:sz w:val="20"/>
                <w:szCs w:val="20"/>
              </w:rPr>
              <w:t> </w:t>
            </w:r>
            <w:r w:rsidRPr="006B322B">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4068A8"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Údaj nie je k dispozícii.</w:t>
            </w:r>
          </w:p>
        </w:tc>
      </w:tr>
      <w:tr w:rsidR="00453EDA"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068A8"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Neuvedené.</w:t>
            </w:r>
          </w:p>
        </w:tc>
      </w:tr>
      <w:tr w:rsidR="00453EDA"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B322B" w:rsidRDefault="00453EDA"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Neuvedené.</w:t>
            </w:r>
          </w:p>
        </w:tc>
      </w:tr>
      <w:tr w:rsidR="00DD79BD"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12.5. Výsledky posúdenia PBT a</w:t>
            </w:r>
            <w:r w:rsidR="00453EDA" w:rsidRPr="006B322B">
              <w:rPr>
                <w:rFonts w:ascii="Arial" w:hAnsi="Arial" w:cs="Arial"/>
                <w:sz w:val="20"/>
                <w:szCs w:val="20"/>
              </w:rPr>
              <w:t> </w:t>
            </w:r>
            <w:r w:rsidRPr="006B322B">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453EDA"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Produkt neobsahuje látky, ktoré spĺňajú kritériá pre látky PBT alebo vPvB v súlade s prílohou XIII, nariadenie (ES) č. 1907/2006 (REACH) v platnom znení.</w:t>
            </w:r>
          </w:p>
        </w:tc>
      </w:tr>
      <w:tr w:rsidR="009B2CD6" w:rsidRPr="007F0B8C" w:rsidTr="00AC0B98">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9B2CD6" w:rsidRPr="007F0B8C" w:rsidRDefault="009B2CD6" w:rsidP="00AC0B9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12.6. Vlastnosti endokrinných </w:t>
            </w:r>
            <w:proofErr w:type="spellStart"/>
            <w:r>
              <w:rPr>
                <w:rFonts w:ascii="Arial" w:hAnsi="Arial" w:cs="Arial"/>
                <w:sz w:val="20"/>
                <w:szCs w:val="20"/>
              </w:rPr>
              <w:t>disruptorov</w:t>
            </w:r>
            <w:proofErr w:type="spellEnd"/>
            <w:r>
              <w:rPr>
                <w:rFonts w:ascii="Arial" w:hAnsi="Arial" w:cs="Arial"/>
                <w:sz w:val="20"/>
                <w:szCs w:val="20"/>
              </w:rPr>
              <w:t xml:space="preserve"> (rozvracačov)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B2CD6" w:rsidRPr="00A7318E" w:rsidRDefault="009B2CD6" w:rsidP="00AC0B9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Výrobok neobsahuje látky s vlastnosťami narušujúcimi endokrinný systém.</w:t>
            </w:r>
          </w:p>
        </w:tc>
      </w:tr>
      <w:tr w:rsidR="00DD79BD" w:rsidRPr="006B322B"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9B2CD6" w:rsidP="00DD79BD">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12.7</w:t>
            </w:r>
            <w:r w:rsidR="00DD79BD" w:rsidRPr="006B322B">
              <w:rPr>
                <w:rFonts w:ascii="Arial" w:hAnsi="Arial" w:cs="Arial"/>
                <w:sz w:val="20"/>
                <w:szCs w:val="20"/>
              </w:rPr>
              <w:t>.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453EDA" w:rsidP="00453EDA">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Neuvedené.</w:t>
            </w:r>
          </w:p>
        </w:tc>
      </w:tr>
    </w:tbl>
    <w:p w:rsidR="000772E8" w:rsidRPr="006B322B" w:rsidRDefault="000772E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322B" w:rsidTr="00DD79BD">
        <w:tc>
          <w:tcPr>
            <w:tcW w:w="9072" w:type="dxa"/>
            <w:shd w:val="clear" w:color="auto" w:fill="FFFF00"/>
          </w:tcPr>
          <w:p w:rsidR="00DD79BD" w:rsidRPr="006B322B" w:rsidRDefault="00DD79BD" w:rsidP="00DD79BD">
            <w:pPr>
              <w:autoSpaceDE w:val="0"/>
              <w:autoSpaceDN w:val="0"/>
              <w:adjustRightInd w:val="0"/>
              <w:spacing w:after="0" w:line="240" w:lineRule="auto"/>
              <w:ind w:left="150"/>
              <w:rPr>
                <w:rFonts w:ascii="Arial" w:hAnsi="Arial" w:cs="Arial"/>
                <w:sz w:val="20"/>
                <w:szCs w:val="20"/>
              </w:rPr>
            </w:pPr>
            <w:r w:rsidRPr="006B322B">
              <w:rPr>
                <w:rFonts w:ascii="Arial" w:hAnsi="Arial" w:cs="Arial"/>
                <w:b/>
                <w:bCs/>
                <w:sz w:val="20"/>
                <w:szCs w:val="20"/>
              </w:rPr>
              <w:t>ODDIEL 13: Opatrenia pri zneškodňovaní</w:t>
            </w:r>
          </w:p>
        </w:tc>
      </w:tr>
    </w:tbl>
    <w:p w:rsidR="00DD79BD" w:rsidRPr="006B322B"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1286E" w:rsidP="00DD79BD">
            <w:pPr>
              <w:spacing w:after="0"/>
              <w:rPr>
                <w:rFonts w:ascii="Arial" w:hAnsi="Arial" w:cs="Arial"/>
                <w:sz w:val="20"/>
                <w:szCs w:val="20"/>
              </w:rPr>
            </w:pPr>
            <w:r w:rsidRPr="006B322B">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6B322B" w:rsidRDefault="00D1286E" w:rsidP="00D1286E">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6B322B" w:rsidRDefault="00D1286E" w:rsidP="00D1286E">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 xml:space="preserve">Kód druhu odpadu: </w:t>
            </w:r>
          </w:p>
          <w:p w:rsidR="00DD79BD" w:rsidRPr="006B322B" w:rsidRDefault="009E2B14" w:rsidP="009E2B14">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08 04 09 odpadové lepidlá a tesniace materiály obsahujúce organické rozpúšťadlá alebo iné nebezpečné látky - nebezpečný odpad podľa smernice 2008/98/ES o nebezpečných odpadoch</w:t>
            </w:r>
          </w:p>
        </w:tc>
      </w:tr>
    </w:tbl>
    <w:p w:rsidR="00DD79BD" w:rsidRPr="006B322B"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322B" w:rsidTr="00DD79BD">
        <w:tc>
          <w:tcPr>
            <w:tcW w:w="9072" w:type="dxa"/>
            <w:shd w:val="clear" w:color="auto" w:fill="FFFF00"/>
          </w:tcPr>
          <w:p w:rsidR="00DD79BD" w:rsidRPr="006B322B" w:rsidRDefault="00DD79BD" w:rsidP="00DD79BD">
            <w:pPr>
              <w:autoSpaceDE w:val="0"/>
              <w:autoSpaceDN w:val="0"/>
              <w:adjustRightInd w:val="0"/>
              <w:spacing w:after="0" w:line="240" w:lineRule="auto"/>
              <w:ind w:left="150"/>
              <w:rPr>
                <w:rFonts w:ascii="Arial" w:hAnsi="Arial" w:cs="Arial"/>
                <w:sz w:val="20"/>
                <w:szCs w:val="20"/>
              </w:rPr>
            </w:pPr>
            <w:r w:rsidRPr="006B322B">
              <w:rPr>
                <w:rFonts w:ascii="Arial" w:hAnsi="Arial" w:cs="Arial"/>
                <w:b/>
                <w:bCs/>
                <w:sz w:val="20"/>
                <w:szCs w:val="20"/>
              </w:rPr>
              <w:t>ODDIEL 14: Informácie o doprave</w:t>
            </w:r>
          </w:p>
        </w:tc>
      </w:tr>
    </w:tbl>
    <w:p w:rsidR="00DD79BD" w:rsidRPr="006B322B"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jc w:val="center"/>
              <w:rPr>
                <w:rFonts w:ascii="Arial" w:hAnsi="Arial" w:cs="Arial"/>
                <w:sz w:val="20"/>
                <w:szCs w:val="20"/>
              </w:rPr>
            </w:pPr>
            <w:r w:rsidRPr="006B322B">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jc w:val="center"/>
              <w:rPr>
                <w:rFonts w:ascii="Arial" w:hAnsi="Arial" w:cs="Arial"/>
                <w:sz w:val="20"/>
                <w:szCs w:val="20"/>
              </w:rPr>
            </w:pPr>
            <w:r w:rsidRPr="006B322B">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jc w:val="center"/>
              <w:rPr>
                <w:rFonts w:ascii="Arial" w:hAnsi="Arial" w:cs="Arial"/>
                <w:sz w:val="20"/>
                <w:szCs w:val="20"/>
              </w:rPr>
            </w:pPr>
            <w:r w:rsidRPr="006B322B">
              <w:rPr>
                <w:rFonts w:ascii="Arial" w:hAnsi="Arial" w:cs="Arial"/>
                <w:sz w:val="20"/>
                <w:szCs w:val="20"/>
              </w:rPr>
              <w:t>ICAO</w:t>
            </w:r>
          </w:p>
        </w:tc>
      </w:tr>
      <w:tr w:rsidR="006B322B"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B322B" w:rsidRPr="006B322B" w:rsidRDefault="006B322B" w:rsidP="006B322B">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B322B" w:rsidRPr="006B322B" w:rsidRDefault="006B322B" w:rsidP="006B322B">
            <w:pPr>
              <w:rPr>
                <w:rFonts w:ascii="Arial" w:hAnsi="Arial" w:cs="Arial"/>
                <w:sz w:val="20"/>
                <w:szCs w:val="20"/>
              </w:rPr>
            </w:pPr>
            <w:r w:rsidRPr="006B322B">
              <w:rPr>
                <w:rFonts w:ascii="Arial" w:hAnsi="Arial" w:cs="Arial"/>
                <w:sz w:val="20"/>
                <w:szCs w:val="20"/>
              </w:rPr>
              <w:t>2259</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B322B" w:rsidRPr="006B322B" w:rsidRDefault="006B322B" w:rsidP="006B322B">
            <w:pPr>
              <w:rPr>
                <w:rFonts w:ascii="Arial" w:hAnsi="Arial" w:cs="Arial"/>
                <w:sz w:val="20"/>
                <w:szCs w:val="20"/>
              </w:rPr>
            </w:pPr>
            <w:r w:rsidRPr="006B322B">
              <w:rPr>
                <w:rFonts w:ascii="Arial" w:hAnsi="Arial" w:cs="Arial"/>
                <w:sz w:val="20"/>
                <w:szCs w:val="20"/>
              </w:rPr>
              <w:t>2259</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B322B" w:rsidRPr="006B322B" w:rsidRDefault="006B322B" w:rsidP="006B322B">
            <w:pPr>
              <w:rPr>
                <w:rFonts w:ascii="Arial" w:hAnsi="Arial" w:cs="Arial"/>
                <w:sz w:val="20"/>
                <w:szCs w:val="20"/>
              </w:rPr>
            </w:pPr>
            <w:r w:rsidRPr="006B322B">
              <w:rPr>
                <w:rFonts w:ascii="Arial" w:hAnsi="Arial" w:cs="Arial"/>
                <w:sz w:val="20"/>
                <w:szCs w:val="20"/>
              </w:rPr>
              <w:t>2259</w:t>
            </w:r>
          </w:p>
        </w:tc>
      </w:tr>
      <w:tr w:rsidR="00656C5E"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656C5E" w:rsidP="00656C5E">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14.2. Správne expedičné označenie OSN</w:t>
            </w:r>
          </w:p>
          <w:p w:rsidR="00656C5E" w:rsidRPr="006B322B" w:rsidRDefault="00656C5E" w:rsidP="00656C5E">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6B322B" w:rsidP="00656C5E">
            <w:pPr>
              <w:rPr>
                <w:rFonts w:ascii="Arial" w:hAnsi="Arial" w:cs="Arial"/>
                <w:sz w:val="20"/>
                <w:szCs w:val="20"/>
              </w:rPr>
            </w:pPr>
            <w:r w:rsidRPr="006B322B">
              <w:rPr>
                <w:rFonts w:ascii="Arial" w:hAnsi="Arial" w:cs="Arial"/>
                <w:sz w:val="20"/>
                <w:szCs w:val="20"/>
              </w:rPr>
              <w:t>TRIETYLÉNTETRAMÍN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656C5E" w:rsidP="00656C5E">
            <w:pPr>
              <w:rPr>
                <w:rFonts w:ascii="Arial" w:hAnsi="Arial" w:cs="Arial"/>
                <w:sz w:val="20"/>
                <w:szCs w:val="20"/>
              </w:rPr>
            </w:pPr>
            <w:r w:rsidRPr="006B322B">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656C5E" w:rsidP="00656C5E">
            <w:pPr>
              <w:rPr>
                <w:rFonts w:ascii="Arial" w:hAnsi="Arial" w:cs="Arial"/>
                <w:sz w:val="20"/>
                <w:szCs w:val="20"/>
              </w:rPr>
            </w:pPr>
            <w:r w:rsidRPr="006B322B">
              <w:rPr>
                <w:rFonts w:ascii="Arial" w:hAnsi="Arial" w:cs="Arial"/>
                <w:sz w:val="20"/>
                <w:szCs w:val="20"/>
              </w:rPr>
              <w:t>-</w:t>
            </w:r>
          </w:p>
        </w:tc>
      </w:tr>
      <w:tr w:rsidR="00656C5E"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656C5E" w:rsidP="00656C5E">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860B4D" w:rsidP="00656C5E">
            <w:pPr>
              <w:rPr>
                <w:rFonts w:ascii="Arial" w:hAnsi="Arial" w:cs="Arial"/>
                <w:sz w:val="20"/>
                <w:szCs w:val="20"/>
              </w:rPr>
            </w:pPr>
            <w:r w:rsidRPr="006B322B">
              <w:rPr>
                <w:rFonts w:ascii="Arial" w:hAnsi="Arial" w:cs="Arial"/>
                <w:sz w:val="20"/>
                <w:szCs w:val="20"/>
              </w:rPr>
              <w:t>8 Žieravé látky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656C5E" w:rsidP="00656C5E">
            <w:pPr>
              <w:rPr>
                <w:rFonts w:ascii="Arial" w:hAnsi="Arial" w:cs="Arial"/>
                <w:sz w:val="20"/>
                <w:szCs w:val="20"/>
              </w:rPr>
            </w:pPr>
            <w:r w:rsidRPr="006B322B">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656C5E" w:rsidP="00656C5E">
            <w:pPr>
              <w:rPr>
                <w:rFonts w:ascii="Arial" w:hAnsi="Arial" w:cs="Arial"/>
                <w:sz w:val="20"/>
                <w:szCs w:val="20"/>
              </w:rPr>
            </w:pPr>
            <w:r w:rsidRPr="006B322B">
              <w:rPr>
                <w:rFonts w:ascii="Arial" w:hAnsi="Arial" w:cs="Arial"/>
                <w:sz w:val="20"/>
                <w:szCs w:val="20"/>
              </w:rPr>
              <w:t>-</w:t>
            </w:r>
          </w:p>
        </w:tc>
      </w:tr>
      <w:tr w:rsidR="00656C5E"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656C5E" w:rsidP="00656C5E">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6B322B" w:rsidP="00656C5E">
            <w:pPr>
              <w:rPr>
                <w:rFonts w:ascii="Arial" w:hAnsi="Arial" w:cs="Arial"/>
                <w:sz w:val="20"/>
                <w:szCs w:val="20"/>
              </w:rPr>
            </w:pPr>
            <w:r w:rsidRPr="006B322B">
              <w:rPr>
                <w:rFonts w:ascii="Arial" w:hAnsi="Arial" w:cs="Arial"/>
                <w:sz w:val="20"/>
                <w:szCs w:val="20"/>
              </w:rPr>
              <w:t>II - látky predstavujúce stredné nebezpečenstvo</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656C5E" w:rsidP="00656C5E">
            <w:pPr>
              <w:rPr>
                <w:rFonts w:ascii="Arial" w:hAnsi="Arial" w:cs="Arial"/>
                <w:sz w:val="20"/>
                <w:szCs w:val="20"/>
              </w:rPr>
            </w:pPr>
            <w:r w:rsidRPr="006B322B">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656C5E" w:rsidP="00656C5E">
            <w:pPr>
              <w:rPr>
                <w:rFonts w:ascii="Arial" w:hAnsi="Arial" w:cs="Arial"/>
                <w:sz w:val="20"/>
                <w:szCs w:val="20"/>
              </w:rPr>
            </w:pPr>
            <w:r w:rsidRPr="006B322B">
              <w:rPr>
                <w:rFonts w:ascii="Arial" w:hAnsi="Arial" w:cs="Arial"/>
                <w:sz w:val="20"/>
                <w:szCs w:val="20"/>
              </w:rPr>
              <w:t>-</w:t>
            </w:r>
          </w:p>
        </w:tc>
      </w:tr>
      <w:tr w:rsidR="00656C5E"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656C5E" w:rsidP="00656C5E">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lastRenderedPageBreak/>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9E2B14" w:rsidP="00656C5E">
            <w:pPr>
              <w:rPr>
                <w:rFonts w:ascii="Arial" w:hAnsi="Arial" w:cs="Arial"/>
                <w:sz w:val="20"/>
                <w:szCs w:val="20"/>
              </w:rPr>
            </w:pPr>
            <w:r w:rsidRPr="006B322B">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656C5E" w:rsidP="00656C5E">
            <w:pPr>
              <w:rPr>
                <w:rFonts w:ascii="Arial" w:hAnsi="Arial" w:cs="Arial"/>
                <w:sz w:val="20"/>
                <w:szCs w:val="20"/>
              </w:rPr>
            </w:pPr>
            <w:r w:rsidRPr="006B322B">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656C5E" w:rsidP="00656C5E">
            <w:pPr>
              <w:rPr>
                <w:rFonts w:ascii="Arial" w:hAnsi="Arial" w:cs="Arial"/>
                <w:sz w:val="20"/>
                <w:szCs w:val="20"/>
              </w:rPr>
            </w:pPr>
            <w:r w:rsidRPr="006B322B">
              <w:rPr>
                <w:rFonts w:ascii="Arial" w:hAnsi="Arial" w:cs="Arial"/>
                <w:sz w:val="20"/>
                <w:szCs w:val="20"/>
              </w:rPr>
              <w:t>-</w:t>
            </w:r>
          </w:p>
        </w:tc>
      </w:tr>
      <w:tr w:rsidR="00656C5E"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656C5E" w:rsidP="00656C5E">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9E2B14" w:rsidP="00656C5E">
            <w:pPr>
              <w:rPr>
                <w:rFonts w:ascii="Arial" w:hAnsi="Arial" w:cs="Arial"/>
                <w:sz w:val="20"/>
                <w:szCs w:val="20"/>
              </w:rPr>
            </w:pPr>
            <w:r w:rsidRPr="006B322B">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656C5E" w:rsidP="00656C5E">
            <w:pPr>
              <w:rPr>
                <w:rFonts w:ascii="Arial" w:hAnsi="Arial" w:cs="Arial"/>
                <w:sz w:val="20"/>
                <w:szCs w:val="20"/>
              </w:rPr>
            </w:pPr>
            <w:r w:rsidRPr="006B322B">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656C5E" w:rsidP="00656C5E">
            <w:pPr>
              <w:rPr>
                <w:rFonts w:ascii="Arial" w:hAnsi="Arial" w:cs="Arial"/>
                <w:sz w:val="20"/>
                <w:szCs w:val="20"/>
              </w:rPr>
            </w:pPr>
            <w:r w:rsidRPr="006B322B">
              <w:rPr>
                <w:rFonts w:ascii="Arial" w:hAnsi="Arial" w:cs="Arial"/>
                <w:sz w:val="20"/>
                <w:szCs w:val="20"/>
              </w:rPr>
              <w:t>-</w:t>
            </w:r>
          </w:p>
        </w:tc>
      </w:tr>
      <w:tr w:rsidR="00656C5E"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656C5E" w:rsidP="00656C5E">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9E2B14" w:rsidP="00656C5E">
            <w:pPr>
              <w:rPr>
                <w:rFonts w:ascii="Arial" w:hAnsi="Arial" w:cs="Arial"/>
                <w:sz w:val="20"/>
                <w:szCs w:val="20"/>
              </w:rPr>
            </w:pPr>
            <w:r w:rsidRPr="006B322B">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656C5E" w:rsidP="00656C5E">
            <w:pPr>
              <w:rPr>
                <w:rFonts w:ascii="Arial" w:hAnsi="Arial" w:cs="Arial"/>
                <w:sz w:val="20"/>
                <w:szCs w:val="20"/>
              </w:rPr>
            </w:pPr>
            <w:r w:rsidRPr="006B322B">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6B322B" w:rsidRDefault="00656C5E" w:rsidP="00656C5E">
            <w:pPr>
              <w:rPr>
                <w:rFonts w:ascii="Arial" w:hAnsi="Arial" w:cs="Arial"/>
                <w:sz w:val="20"/>
                <w:szCs w:val="20"/>
              </w:rPr>
            </w:pPr>
            <w:r w:rsidRPr="006B322B">
              <w:rPr>
                <w:rFonts w:ascii="Arial" w:hAnsi="Arial" w:cs="Arial"/>
                <w:sz w:val="20"/>
                <w:szCs w:val="20"/>
              </w:rPr>
              <w:t>-</w:t>
            </w:r>
          </w:p>
        </w:tc>
      </w:tr>
      <w:tr w:rsidR="009E2B14"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9E2B14" w:rsidRPr="006B322B" w:rsidRDefault="009E2B14" w:rsidP="00656C5E">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E2B14" w:rsidRPr="006B322B" w:rsidRDefault="006B322B" w:rsidP="00656C5E">
            <w:pPr>
              <w:rPr>
                <w:rFonts w:ascii="Arial" w:hAnsi="Arial" w:cs="Arial"/>
                <w:sz w:val="20"/>
                <w:szCs w:val="20"/>
              </w:rPr>
            </w:pPr>
            <w:r w:rsidRPr="006B322B">
              <w:rPr>
                <w:rFonts w:ascii="Arial" w:hAnsi="Arial" w:cs="Arial"/>
                <w:sz w:val="20"/>
                <w:szCs w:val="20"/>
              </w:rPr>
              <w:t>Identifikačné číslo nebezpečnosti 80 (</w:t>
            </w:r>
            <w:proofErr w:type="spellStart"/>
            <w:r w:rsidRPr="006B322B">
              <w:rPr>
                <w:rFonts w:ascii="Arial" w:hAnsi="Arial" w:cs="Arial"/>
                <w:sz w:val="20"/>
                <w:szCs w:val="20"/>
              </w:rPr>
              <w:t>Kemlerov</w:t>
            </w:r>
            <w:proofErr w:type="spellEnd"/>
            <w:r w:rsidRPr="006B322B">
              <w:rPr>
                <w:rFonts w:ascii="Arial" w:hAnsi="Arial" w:cs="Arial"/>
                <w:sz w:val="20"/>
                <w:szCs w:val="20"/>
              </w:rPr>
              <w:t xml:space="preserve"> kód) UN číslo 2259 Klasifikačný kód C7 Bezpečnostné značky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E2B14" w:rsidRPr="006B322B" w:rsidRDefault="006B322B" w:rsidP="00656C5E">
            <w:pPr>
              <w:rPr>
                <w:rFonts w:ascii="Arial" w:hAnsi="Arial" w:cs="Arial"/>
                <w:sz w:val="20"/>
                <w:szCs w:val="20"/>
              </w:rPr>
            </w:pPr>
            <w:r w:rsidRPr="006B322B">
              <w:rPr>
                <w:rFonts w:ascii="Arial" w:hAnsi="Arial" w:cs="Arial"/>
                <w:sz w:val="20"/>
                <w:szCs w:val="20"/>
              </w:rPr>
              <w:t>EmS (pohotovostný plán) F-A, S-B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E2B14" w:rsidRPr="006B322B" w:rsidRDefault="006B322B" w:rsidP="00656C5E">
            <w:pPr>
              <w:rPr>
                <w:rFonts w:ascii="Arial" w:hAnsi="Arial" w:cs="Arial"/>
                <w:sz w:val="20"/>
                <w:szCs w:val="20"/>
              </w:rPr>
            </w:pPr>
            <w:r w:rsidRPr="006B322B">
              <w:rPr>
                <w:rFonts w:ascii="Arial" w:hAnsi="Arial" w:cs="Arial"/>
                <w:sz w:val="20"/>
                <w:szCs w:val="20"/>
              </w:rPr>
              <w:t xml:space="preserve">Baliace inštrukcie pasažier 851 Baliace inštrukcie </w:t>
            </w:r>
            <w:proofErr w:type="spellStart"/>
            <w:r w:rsidRPr="006B322B">
              <w:rPr>
                <w:rFonts w:ascii="Arial" w:hAnsi="Arial" w:cs="Arial"/>
                <w:sz w:val="20"/>
                <w:szCs w:val="20"/>
              </w:rPr>
              <w:t>kargo</w:t>
            </w:r>
            <w:proofErr w:type="spellEnd"/>
            <w:r w:rsidRPr="006B322B">
              <w:rPr>
                <w:rFonts w:ascii="Arial" w:hAnsi="Arial" w:cs="Arial"/>
                <w:sz w:val="20"/>
                <w:szCs w:val="20"/>
              </w:rPr>
              <w:t xml:space="preserve"> 855</w:t>
            </w:r>
          </w:p>
        </w:tc>
      </w:tr>
    </w:tbl>
    <w:p w:rsidR="00DD79BD" w:rsidRPr="006B322B"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322B" w:rsidTr="00DD79BD">
        <w:tc>
          <w:tcPr>
            <w:tcW w:w="9072" w:type="dxa"/>
            <w:shd w:val="clear" w:color="auto" w:fill="FFFF00"/>
          </w:tcPr>
          <w:p w:rsidR="00DD79BD" w:rsidRPr="006B322B" w:rsidRDefault="00DD79BD" w:rsidP="00DD79BD">
            <w:pPr>
              <w:autoSpaceDE w:val="0"/>
              <w:autoSpaceDN w:val="0"/>
              <w:adjustRightInd w:val="0"/>
              <w:spacing w:after="0" w:line="240" w:lineRule="auto"/>
              <w:ind w:left="150"/>
              <w:rPr>
                <w:rFonts w:ascii="Arial" w:hAnsi="Arial" w:cs="Arial"/>
                <w:sz w:val="20"/>
                <w:szCs w:val="20"/>
              </w:rPr>
            </w:pPr>
            <w:r w:rsidRPr="006B322B">
              <w:rPr>
                <w:rFonts w:ascii="Arial" w:hAnsi="Arial" w:cs="Arial"/>
                <w:b/>
                <w:bCs/>
                <w:sz w:val="20"/>
                <w:szCs w:val="20"/>
              </w:rPr>
              <w:t>ODDIEL 15: Regulačné informácie</w:t>
            </w:r>
          </w:p>
        </w:tc>
      </w:tr>
    </w:tbl>
    <w:p w:rsidR="00DD79BD" w:rsidRPr="006B322B"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Pri vypracovávaní karty bezpečnostných údajov boli použité nasledovné zákony, nariadenia a vyhlášky:</w:t>
            </w:r>
          </w:p>
          <w:p w:rsidR="00DD79BD" w:rsidRPr="006B322B" w:rsidRDefault="00DD79BD"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6B322B" w:rsidRDefault="00DD79BD"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6B322B" w:rsidRDefault="00DD79BD"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6B322B" w:rsidRDefault="00DD79BD"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Zákon č. 79/2015 Z. z. o odpadoch</w:t>
            </w:r>
          </w:p>
          <w:p w:rsidR="00DD79BD" w:rsidRPr="006B322B" w:rsidRDefault="00DD79BD"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Medzinárodná cestná doprava nebezpečného tovaru ADR</w:t>
            </w:r>
          </w:p>
          <w:p w:rsidR="00DD79BD" w:rsidRPr="006B322B" w:rsidRDefault="00DD79BD"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Medzinárodná železničná doprava nebezpečného tovaru RID</w:t>
            </w:r>
          </w:p>
          <w:p w:rsidR="00DD79BD" w:rsidRPr="006B322B" w:rsidRDefault="00DD79BD"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Medzinárodná námorná doprava nebezpečného tovaru IMDG</w:t>
            </w:r>
          </w:p>
          <w:p w:rsidR="00DD79BD" w:rsidRPr="006B322B" w:rsidRDefault="00DD79BD"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Medzinárodná letecká doprava nebezpečného tovaru ICAO/IATA</w:t>
            </w:r>
          </w:p>
          <w:p w:rsidR="00DD79BD" w:rsidRPr="006B322B" w:rsidRDefault="00DD79BD"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6B322B" w:rsidRDefault="00DD79BD"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6B322B" w:rsidRDefault="00DD79BD"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Vyhláška MV SR č. 96/2004 Z. z. o protipožiarnej bezpečnosti</w:t>
            </w:r>
          </w:p>
          <w:p w:rsidR="00DD79BD" w:rsidRPr="006B322B" w:rsidRDefault="00DD79BD"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Nariadenie Európskeho parlamentu a Rady (ES) č.  648/2004 o detergentoch</w:t>
            </w:r>
          </w:p>
          <w:p w:rsidR="00DD79BD" w:rsidRPr="006B322B" w:rsidRDefault="00DD79BD"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Nariadenie vlády SR č, 46/2009 Z. z., ktorým sa ustanovujú požiadavky na aerosólové rozprašovače</w:t>
            </w:r>
          </w:p>
        </w:tc>
      </w:tr>
      <w:tr w:rsidR="00DD79BD" w:rsidRPr="006B322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DD79BD" w:rsidP="00DD79BD">
            <w:pPr>
              <w:autoSpaceDE w:val="0"/>
              <w:autoSpaceDN w:val="0"/>
              <w:adjustRightInd w:val="0"/>
              <w:spacing w:after="0" w:line="240" w:lineRule="auto"/>
              <w:ind w:left="90"/>
              <w:rPr>
                <w:rFonts w:ascii="Arial" w:hAnsi="Arial" w:cs="Arial"/>
                <w:sz w:val="20"/>
                <w:szCs w:val="20"/>
              </w:rPr>
            </w:pPr>
            <w:r w:rsidRPr="006B322B">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2B" w:rsidRDefault="000477F4" w:rsidP="00DD79BD">
            <w:pPr>
              <w:spacing w:after="0"/>
              <w:rPr>
                <w:rFonts w:ascii="Arial" w:hAnsi="Arial" w:cs="Arial"/>
                <w:sz w:val="20"/>
                <w:szCs w:val="20"/>
              </w:rPr>
            </w:pPr>
            <w:r w:rsidRPr="006B322B">
              <w:rPr>
                <w:rFonts w:ascii="Arial" w:hAnsi="Arial" w:cs="Arial"/>
                <w:sz w:val="20"/>
                <w:szCs w:val="20"/>
              </w:rPr>
              <w:t>Nebolo vykonané</w:t>
            </w:r>
          </w:p>
        </w:tc>
      </w:tr>
    </w:tbl>
    <w:p w:rsidR="00DD79BD" w:rsidRPr="006B322B" w:rsidRDefault="00DD79BD" w:rsidP="00DD79BD">
      <w:pPr>
        <w:spacing w:after="0"/>
        <w:rPr>
          <w:rFonts w:ascii="Arial" w:hAnsi="Arial" w:cs="Arial"/>
          <w:sz w:val="20"/>
          <w:szCs w:val="20"/>
        </w:rPr>
      </w:pPr>
    </w:p>
    <w:p w:rsidR="00F85253" w:rsidRPr="006B322B" w:rsidRDefault="00F85253" w:rsidP="00DD79BD">
      <w:pPr>
        <w:spacing w:after="0"/>
        <w:rPr>
          <w:rFonts w:ascii="Arial" w:hAnsi="Arial" w:cs="Arial"/>
          <w:sz w:val="20"/>
          <w:szCs w:val="20"/>
        </w:rPr>
      </w:pPr>
    </w:p>
    <w:p w:rsidR="00F85253" w:rsidRPr="006B322B" w:rsidRDefault="00F85253"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322B" w:rsidTr="00DD79BD">
        <w:tc>
          <w:tcPr>
            <w:tcW w:w="9072" w:type="dxa"/>
            <w:shd w:val="clear" w:color="auto" w:fill="FFFF00"/>
          </w:tcPr>
          <w:p w:rsidR="00DD79BD" w:rsidRPr="006B322B" w:rsidRDefault="00DD79BD" w:rsidP="00DD79BD">
            <w:pPr>
              <w:autoSpaceDE w:val="0"/>
              <w:autoSpaceDN w:val="0"/>
              <w:adjustRightInd w:val="0"/>
              <w:spacing w:after="0" w:line="240" w:lineRule="auto"/>
              <w:ind w:left="150"/>
              <w:rPr>
                <w:rFonts w:ascii="Arial" w:hAnsi="Arial" w:cs="Arial"/>
                <w:sz w:val="20"/>
                <w:szCs w:val="20"/>
              </w:rPr>
            </w:pPr>
            <w:r w:rsidRPr="006B322B">
              <w:rPr>
                <w:rFonts w:ascii="Arial" w:hAnsi="Arial" w:cs="Arial"/>
                <w:b/>
                <w:bCs/>
                <w:sz w:val="20"/>
                <w:szCs w:val="20"/>
              </w:rPr>
              <w:t>ODDIEL 16: Iné informácie</w:t>
            </w:r>
          </w:p>
        </w:tc>
      </w:tr>
    </w:tbl>
    <w:p w:rsidR="00DD79BD" w:rsidRPr="006B322B"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6B322B" w:rsidTr="00DD79BD">
        <w:tc>
          <w:tcPr>
            <w:tcW w:w="9072" w:type="dxa"/>
            <w:shd w:val="clear" w:color="auto" w:fill="auto"/>
          </w:tcPr>
          <w:p w:rsidR="008E4DD7" w:rsidRPr="006B322B" w:rsidRDefault="008E4DD7" w:rsidP="008E4DD7">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Údaje o revízii</w:t>
            </w:r>
          </w:p>
          <w:p w:rsidR="008E4DD7" w:rsidRPr="006B322B" w:rsidRDefault="009B2CD6" w:rsidP="008E4DD7">
            <w:pPr>
              <w:autoSpaceDE w:val="0"/>
              <w:autoSpaceDN w:val="0"/>
              <w:adjustRightInd w:val="0"/>
              <w:spacing w:after="0" w:line="240" w:lineRule="auto"/>
              <w:rPr>
                <w:rFonts w:ascii="Arial" w:hAnsi="Arial" w:cs="Arial"/>
                <w:sz w:val="20"/>
                <w:szCs w:val="20"/>
              </w:rPr>
            </w:pPr>
            <w:r>
              <w:rPr>
                <w:rFonts w:ascii="Arial" w:hAnsi="Arial" w:cs="Arial"/>
                <w:sz w:val="20"/>
                <w:szCs w:val="20"/>
              </w:rPr>
              <w:t>-</w:t>
            </w:r>
          </w:p>
          <w:p w:rsidR="008E4DD7" w:rsidRPr="006B322B" w:rsidRDefault="008E4DD7" w:rsidP="00DD79BD">
            <w:pPr>
              <w:autoSpaceDE w:val="0"/>
              <w:autoSpaceDN w:val="0"/>
              <w:adjustRightInd w:val="0"/>
              <w:spacing w:after="0" w:line="240" w:lineRule="auto"/>
              <w:rPr>
                <w:rFonts w:ascii="Arial" w:hAnsi="Arial" w:cs="Arial"/>
                <w:sz w:val="20"/>
                <w:szCs w:val="20"/>
              </w:rPr>
            </w:pP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Legenda k skratkám a akronymom použitým v karte bezpečnostných údajov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ADR Európska dohoda o medzinárodnej cestnej preprave nebezpečných vecí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BCF </w:t>
            </w:r>
            <w:proofErr w:type="spellStart"/>
            <w:r w:rsidRPr="006B322B">
              <w:rPr>
                <w:rFonts w:ascii="Arial" w:hAnsi="Arial" w:cs="Arial"/>
                <w:sz w:val="20"/>
                <w:szCs w:val="20"/>
              </w:rPr>
              <w:t>Biokoncentračný</w:t>
            </w:r>
            <w:proofErr w:type="spellEnd"/>
            <w:r w:rsidRPr="006B322B">
              <w:rPr>
                <w:rFonts w:ascii="Arial" w:hAnsi="Arial" w:cs="Arial"/>
                <w:sz w:val="20"/>
                <w:szCs w:val="20"/>
              </w:rPr>
              <w:t xml:space="preserve"> faktor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CAS </w:t>
            </w:r>
            <w:proofErr w:type="spellStart"/>
            <w:r w:rsidRPr="006B322B">
              <w:rPr>
                <w:rFonts w:ascii="Arial" w:hAnsi="Arial" w:cs="Arial"/>
                <w:sz w:val="20"/>
                <w:szCs w:val="20"/>
              </w:rPr>
              <w:t>Chemical</w:t>
            </w:r>
            <w:proofErr w:type="spellEnd"/>
            <w:r w:rsidRPr="006B322B">
              <w:rPr>
                <w:rFonts w:ascii="Arial" w:hAnsi="Arial" w:cs="Arial"/>
                <w:sz w:val="20"/>
                <w:szCs w:val="20"/>
              </w:rPr>
              <w:t xml:space="preserve"> </w:t>
            </w:r>
            <w:proofErr w:type="spellStart"/>
            <w:r w:rsidRPr="006B322B">
              <w:rPr>
                <w:rFonts w:ascii="Arial" w:hAnsi="Arial" w:cs="Arial"/>
                <w:sz w:val="20"/>
                <w:szCs w:val="20"/>
              </w:rPr>
              <w:t>Abstracts</w:t>
            </w:r>
            <w:proofErr w:type="spellEnd"/>
            <w:r w:rsidRPr="006B322B">
              <w:rPr>
                <w:rFonts w:ascii="Arial" w:hAnsi="Arial" w:cs="Arial"/>
                <w:sz w:val="20"/>
                <w:szCs w:val="20"/>
              </w:rPr>
              <w:t xml:space="preserve"> Service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CLP Nariadenie (ES) č. 1272/2008 o klasifikácii, označovaní a balení látok a zmesí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DNEL Odvodené hladiny, pri ktorých nedochádza k žiadnym účinkom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EC</w:t>
            </w:r>
            <w:r w:rsidRPr="006B322B">
              <w:rPr>
                <w:rFonts w:ascii="Cambria Math" w:hAnsi="Cambria Math" w:cs="Cambria Math"/>
                <w:sz w:val="20"/>
                <w:szCs w:val="20"/>
              </w:rPr>
              <w:t>₅₀</w:t>
            </w:r>
            <w:r w:rsidRPr="006B322B">
              <w:rPr>
                <w:rFonts w:ascii="Arial" w:hAnsi="Arial" w:cs="Arial"/>
                <w:sz w:val="20"/>
                <w:szCs w:val="20"/>
              </w:rPr>
              <w:t xml:space="preserve"> Koncentrácia látky pri ktorej je zasiahnutých 50% populácie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EINECS Európsky zoznam existujúcich obchodovaných chemických látok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EmS Pohotovostný plán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ES Číslo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ES je číselný identifikátor lát</w:t>
            </w:r>
            <w:r w:rsidR="00020E46" w:rsidRPr="006B322B">
              <w:rPr>
                <w:rFonts w:ascii="Arial" w:hAnsi="Arial" w:cs="Arial"/>
                <w:sz w:val="20"/>
                <w:szCs w:val="20"/>
              </w:rPr>
              <w:t>o</w:t>
            </w:r>
            <w:r w:rsidRPr="006B322B">
              <w:rPr>
                <w:rFonts w:ascii="Arial" w:hAnsi="Arial" w:cs="Arial"/>
                <w:sz w:val="20"/>
                <w:szCs w:val="20"/>
              </w:rPr>
              <w:t>k na z</w:t>
            </w:r>
            <w:r w:rsidR="00020E46" w:rsidRPr="006B322B">
              <w:rPr>
                <w:rFonts w:ascii="Arial" w:hAnsi="Arial" w:cs="Arial"/>
                <w:sz w:val="20"/>
                <w:szCs w:val="20"/>
              </w:rPr>
              <w:t>ozname</w:t>
            </w:r>
            <w:r w:rsidRPr="006B322B">
              <w:rPr>
                <w:rFonts w:ascii="Arial" w:hAnsi="Arial" w:cs="Arial"/>
                <w:sz w:val="20"/>
                <w:szCs w:val="20"/>
              </w:rPr>
              <w:t xml:space="preserve"> ES EÚ Európska únia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IATA Medzinárodná asociácia leteckých dopravcov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IBC Medzinárodný predpis pre stavbu a vybavenie lodí hromadne prepravujúce nebezpečné chemikálie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IC</w:t>
            </w:r>
            <w:r w:rsidRPr="006B322B">
              <w:rPr>
                <w:rFonts w:ascii="Cambria Math" w:hAnsi="Cambria Math" w:cs="Cambria Math"/>
                <w:sz w:val="20"/>
                <w:szCs w:val="20"/>
              </w:rPr>
              <w:t>₅₀</w:t>
            </w:r>
            <w:r w:rsidRPr="006B322B">
              <w:rPr>
                <w:rFonts w:ascii="Arial" w:hAnsi="Arial" w:cs="Arial"/>
                <w:sz w:val="20"/>
                <w:szCs w:val="20"/>
              </w:rPr>
              <w:t xml:space="preserve"> Koncentrácia pôsobiaca 50% blokádu</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ICAO Medzinárodná organizácia pre civilné letectvo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IMDG Medzinárodná námorná preprava nebezpečného tovaru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INCI Medzinárodné názvoslovie kozmetických zložiek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ISO Medzinárodná organizácia pre normalizáciu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IUPAC Medzinárodná únia pre čistú a aplikovanú chémiu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LC</w:t>
            </w:r>
            <w:r w:rsidRPr="006B322B">
              <w:rPr>
                <w:rFonts w:ascii="Cambria Math" w:hAnsi="Cambria Math" w:cs="Cambria Math"/>
                <w:sz w:val="20"/>
                <w:szCs w:val="20"/>
              </w:rPr>
              <w:t>₅₀</w:t>
            </w:r>
            <w:r w:rsidRPr="006B322B">
              <w:rPr>
                <w:rFonts w:ascii="Arial" w:hAnsi="Arial" w:cs="Arial"/>
                <w:sz w:val="20"/>
                <w:szCs w:val="20"/>
              </w:rPr>
              <w:t xml:space="preserve"> Smrteľná koncentrácia látky, pri ktorej možno očakávať, že spôsobí smrť 50% populácie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LD</w:t>
            </w:r>
            <w:r w:rsidRPr="006B322B">
              <w:rPr>
                <w:rFonts w:ascii="Cambria Math" w:hAnsi="Cambria Math" w:cs="Cambria Math"/>
                <w:sz w:val="20"/>
                <w:szCs w:val="20"/>
              </w:rPr>
              <w:t>₅₀</w:t>
            </w:r>
            <w:r w:rsidRPr="006B322B">
              <w:rPr>
                <w:rFonts w:ascii="Arial" w:hAnsi="Arial" w:cs="Arial"/>
                <w:sz w:val="20"/>
                <w:szCs w:val="20"/>
              </w:rPr>
              <w:t xml:space="preserve"> Smrteľná dávka látky, pri ktorej možno očakávať, že spôsobí smrť 50% populácie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LOAEC Najnižšia koncentrácia s pozorovaným nepriaznivým účinkom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LOAEL Najnižšia hladina, pri ktorej dochádza k nepriaznivým účinkom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log </w:t>
            </w:r>
            <w:proofErr w:type="spellStart"/>
            <w:r w:rsidRPr="006B322B">
              <w:rPr>
                <w:rFonts w:ascii="Arial" w:hAnsi="Arial" w:cs="Arial"/>
                <w:sz w:val="20"/>
                <w:szCs w:val="20"/>
              </w:rPr>
              <w:t>Kow</w:t>
            </w:r>
            <w:proofErr w:type="spellEnd"/>
            <w:r w:rsidRPr="006B322B">
              <w:rPr>
                <w:rFonts w:ascii="Arial" w:hAnsi="Arial" w:cs="Arial"/>
                <w:sz w:val="20"/>
                <w:szCs w:val="20"/>
              </w:rPr>
              <w:t xml:space="preserve"> Oktanol-voda rozdeľovací koeficient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MARPOL Medzinárodný dohovor o zabránení znečisťovania z lodí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NOAEC Koncentrácia bez pozorovaného nepriaznivého účinku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NOAEL Hladina bez pozorovaného nepriaznivého účinku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NOEC Koncentrácia bez pozorovaného účinku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NOEL Hladina bez pozorovaného účinku </w:t>
            </w:r>
          </w:p>
          <w:p w:rsidR="00DD79BD"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NPEL Najvyšší prípustný expozičný limit</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OEL Expozičné limity na pracovisku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PBT </w:t>
            </w:r>
            <w:proofErr w:type="spellStart"/>
            <w:r w:rsidRPr="006B322B">
              <w:rPr>
                <w:rFonts w:ascii="Arial" w:hAnsi="Arial" w:cs="Arial"/>
                <w:sz w:val="20"/>
                <w:szCs w:val="20"/>
              </w:rPr>
              <w:t>Perzistentný</w:t>
            </w:r>
            <w:proofErr w:type="spellEnd"/>
            <w:r w:rsidRPr="006B322B">
              <w:rPr>
                <w:rFonts w:ascii="Arial" w:hAnsi="Arial" w:cs="Arial"/>
                <w:sz w:val="20"/>
                <w:szCs w:val="20"/>
              </w:rPr>
              <w:t xml:space="preserve">, </w:t>
            </w:r>
            <w:proofErr w:type="spellStart"/>
            <w:r w:rsidRPr="006B322B">
              <w:rPr>
                <w:rFonts w:ascii="Arial" w:hAnsi="Arial" w:cs="Arial"/>
                <w:sz w:val="20"/>
                <w:szCs w:val="20"/>
              </w:rPr>
              <w:t>bioakumulatívny</w:t>
            </w:r>
            <w:proofErr w:type="spellEnd"/>
            <w:r w:rsidRPr="006B322B">
              <w:rPr>
                <w:rFonts w:ascii="Arial" w:hAnsi="Arial" w:cs="Arial"/>
                <w:sz w:val="20"/>
                <w:szCs w:val="20"/>
              </w:rPr>
              <w:t xml:space="preserve"> a toxický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PNEC Predpokladaná koncentrácia, pri ktorej nedochádza k žiadnym účinkom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ppm Počet častíc na milión (milióntina)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REACH Registrácia, hodnotenie, autorizácia a obmedzovanie chemických látok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RID Dohoda o preprave nebezpečného tovaru po železnici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UN Štvormiestne identifikačné číslo látky alebo predmetu prebrané zo Vzorov predpisov OSN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UVCB Látka neznámeho alebo variabilného zloženia, komplexné reakčné produkt alebo biologický materiál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VOC Prchavé organické zlúčeniny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vPvB Veľmi </w:t>
            </w:r>
            <w:proofErr w:type="spellStart"/>
            <w:r w:rsidRPr="006B322B">
              <w:rPr>
                <w:rFonts w:ascii="Arial" w:hAnsi="Arial" w:cs="Arial"/>
                <w:sz w:val="20"/>
                <w:szCs w:val="20"/>
              </w:rPr>
              <w:t>perzistentný</w:t>
            </w:r>
            <w:proofErr w:type="spellEnd"/>
            <w:r w:rsidRPr="006B322B">
              <w:rPr>
                <w:rFonts w:ascii="Arial" w:hAnsi="Arial" w:cs="Arial"/>
                <w:sz w:val="20"/>
                <w:szCs w:val="20"/>
              </w:rPr>
              <w:t xml:space="preserve"> a veľmi </w:t>
            </w:r>
            <w:proofErr w:type="spellStart"/>
            <w:r w:rsidRPr="006B322B">
              <w:rPr>
                <w:rFonts w:ascii="Arial" w:hAnsi="Arial" w:cs="Arial"/>
                <w:sz w:val="20"/>
                <w:szCs w:val="20"/>
              </w:rPr>
              <w:t>bioakumulatívny</w:t>
            </w:r>
            <w:proofErr w:type="spellEnd"/>
            <w:r w:rsidRPr="006B322B">
              <w:rPr>
                <w:rFonts w:ascii="Arial" w:hAnsi="Arial" w:cs="Arial"/>
                <w:sz w:val="20"/>
                <w:szCs w:val="20"/>
              </w:rPr>
              <w:t xml:space="preserve"> </w:t>
            </w:r>
          </w:p>
          <w:p w:rsidR="00D1286E" w:rsidRPr="006B322B" w:rsidRDefault="00D1286E" w:rsidP="00DD79BD">
            <w:pPr>
              <w:autoSpaceDE w:val="0"/>
              <w:autoSpaceDN w:val="0"/>
              <w:adjustRightInd w:val="0"/>
              <w:spacing w:after="0" w:line="240" w:lineRule="auto"/>
              <w:rPr>
                <w:rFonts w:ascii="Arial" w:hAnsi="Arial" w:cs="Arial"/>
                <w:sz w:val="20"/>
                <w:szCs w:val="20"/>
              </w:rPr>
            </w:pP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lastRenderedPageBreak/>
              <w:t xml:space="preserve">Pokyny pre školenie Zoznámiť pracovníkov s odporúčaným spôsobom použitia, povinnými ochrannými prostriedkami, prvou pomocou a zakázanými manipuláciami s produktom. </w:t>
            </w:r>
          </w:p>
          <w:p w:rsidR="00E05DF0"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Odporúčané obmedzenie použitia neuvedené </w:t>
            </w:r>
          </w:p>
          <w:p w:rsidR="00E05DF0" w:rsidRPr="006B322B" w:rsidRDefault="00E05DF0" w:rsidP="00DD79BD">
            <w:pPr>
              <w:autoSpaceDE w:val="0"/>
              <w:autoSpaceDN w:val="0"/>
              <w:adjustRightInd w:val="0"/>
              <w:spacing w:after="0" w:line="240" w:lineRule="auto"/>
              <w:rPr>
                <w:rFonts w:ascii="Arial" w:hAnsi="Arial" w:cs="Arial"/>
                <w:sz w:val="20"/>
                <w:szCs w:val="20"/>
              </w:rPr>
            </w:pP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Informácie o zdrojoch údajov použitých pri zostavovaní karty bezpečnostných údajov</w:t>
            </w:r>
            <w:r w:rsidR="00E05DF0" w:rsidRPr="006B322B">
              <w:rPr>
                <w:rFonts w:ascii="Arial" w:hAnsi="Arial" w:cs="Arial"/>
                <w:sz w:val="20"/>
                <w:szCs w:val="20"/>
              </w:rPr>
              <w:t>:</w:t>
            </w:r>
            <w:r w:rsidRPr="006B322B">
              <w:rPr>
                <w:rFonts w:ascii="Arial" w:hAnsi="Arial" w:cs="Arial"/>
                <w:sz w:val="20"/>
                <w:szCs w:val="20"/>
              </w:rPr>
              <w:t xml:space="preserve">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Zásady pro </w:t>
            </w:r>
            <w:proofErr w:type="spellStart"/>
            <w:r w:rsidRPr="006B322B">
              <w:rPr>
                <w:rFonts w:ascii="Arial" w:hAnsi="Arial" w:cs="Arial"/>
                <w:sz w:val="20"/>
                <w:szCs w:val="20"/>
              </w:rPr>
              <w:t>poskytování</w:t>
            </w:r>
            <w:proofErr w:type="spellEnd"/>
            <w:r w:rsidRPr="006B322B">
              <w:rPr>
                <w:rFonts w:ascii="Arial" w:hAnsi="Arial" w:cs="Arial"/>
                <w:sz w:val="20"/>
                <w:szCs w:val="20"/>
              </w:rPr>
              <w:t xml:space="preserve"> </w:t>
            </w:r>
            <w:proofErr w:type="spellStart"/>
            <w:r w:rsidRPr="006B322B">
              <w:rPr>
                <w:rFonts w:ascii="Arial" w:hAnsi="Arial" w:cs="Arial"/>
                <w:sz w:val="20"/>
                <w:szCs w:val="20"/>
              </w:rPr>
              <w:t>první</w:t>
            </w:r>
            <w:proofErr w:type="spellEnd"/>
            <w:r w:rsidRPr="006B322B">
              <w:rPr>
                <w:rFonts w:ascii="Arial" w:hAnsi="Arial" w:cs="Arial"/>
                <w:sz w:val="20"/>
                <w:szCs w:val="20"/>
              </w:rPr>
              <w:t xml:space="preserve"> pomoci </w:t>
            </w:r>
            <w:proofErr w:type="spellStart"/>
            <w:r w:rsidRPr="006B322B">
              <w:rPr>
                <w:rFonts w:ascii="Arial" w:hAnsi="Arial" w:cs="Arial"/>
                <w:sz w:val="20"/>
                <w:szCs w:val="20"/>
              </w:rPr>
              <w:t>při</w:t>
            </w:r>
            <w:proofErr w:type="spellEnd"/>
            <w:r w:rsidRPr="006B322B">
              <w:rPr>
                <w:rFonts w:ascii="Arial" w:hAnsi="Arial" w:cs="Arial"/>
                <w:sz w:val="20"/>
                <w:szCs w:val="20"/>
              </w:rPr>
              <w:t xml:space="preserve"> </w:t>
            </w:r>
            <w:proofErr w:type="spellStart"/>
            <w:r w:rsidRPr="006B322B">
              <w:rPr>
                <w:rFonts w:ascii="Arial" w:hAnsi="Arial" w:cs="Arial"/>
                <w:sz w:val="20"/>
                <w:szCs w:val="20"/>
              </w:rPr>
              <w:t>expozici</w:t>
            </w:r>
            <w:proofErr w:type="spellEnd"/>
            <w:r w:rsidRPr="006B322B">
              <w:rPr>
                <w:rFonts w:ascii="Arial" w:hAnsi="Arial" w:cs="Arial"/>
                <w:sz w:val="20"/>
                <w:szCs w:val="20"/>
              </w:rPr>
              <w:t xml:space="preserve"> chemickým </w:t>
            </w:r>
            <w:proofErr w:type="spellStart"/>
            <w:r w:rsidRPr="006B322B">
              <w:rPr>
                <w:rFonts w:ascii="Arial" w:hAnsi="Arial" w:cs="Arial"/>
                <w:sz w:val="20"/>
                <w:szCs w:val="20"/>
              </w:rPr>
              <w:t>látkám</w:t>
            </w:r>
            <w:proofErr w:type="spellEnd"/>
            <w:r w:rsidRPr="006B322B">
              <w:rPr>
                <w:rFonts w:ascii="Arial" w:hAnsi="Arial" w:cs="Arial"/>
                <w:sz w:val="20"/>
                <w:szCs w:val="20"/>
              </w:rPr>
              <w:t xml:space="preserve">, doc. MUDr. Daniela </w:t>
            </w:r>
            <w:proofErr w:type="spellStart"/>
            <w:r w:rsidRPr="006B322B">
              <w:rPr>
                <w:rFonts w:ascii="Arial" w:hAnsi="Arial" w:cs="Arial"/>
                <w:sz w:val="20"/>
                <w:szCs w:val="20"/>
              </w:rPr>
              <w:t>Pelclová</w:t>
            </w:r>
            <w:proofErr w:type="spellEnd"/>
            <w:r w:rsidRPr="006B322B">
              <w:rPr>
                <w:rFonts w:ascii="Arial" w:hAnsi="Arial" w:cs="Arial"/>
                <w:sz w:val="20"/>
                <w:szCs w:val="20"/>
              </w:rPr>
              <w:t xml:space="preserve">, CSc., MUDr. </w:t>
            </w:r>
            <w:proofErr w:type="spellStart"/>
            <w:r w:rsidRPr="006B322B">
              <w:rPr>
                <w:rFonts w:ascii="Arial" w:hAnsi="Arial" w:cs="Arial"/>
                <w:sz w:val="20"/>
                <w:szCs w:val="20"/>
              </w:rPr>
              <w:t>Alexandr</w:t>
            </w:r>
            <w:proofErr w:type="spellEnd"/>
            <w:r w:rsidRPr="006B322B">
              <w:rPr>
                <w:rFonts w:ascii="Arial" w:hAnsi="Arial" w:cs="Arial"/>
                <w:sz w:val="20"/>
                <w:szCs w:val="20"/>
              </w:rPr>
              <w:t xml:space="preserve"> </w:t>
            </w:r>
            <w:proofErr w:type="spellStart"/>
            <w:r w:rsidRPr="006B322B">
              <w:rPr>
                <w:rFonts w:ascii="Arial" w:hAnsi="Arial" w:cs="Arial"/>
                <w:sz w:val="20"/>
                <w:szCs w:val="20"/>
              </w:rPr>
              <w:t>Fuchs</w:t>
            </w:r>
            <w:proofErr w:type="spellEnd"/>
            <w:r w:rsidRPr="006B322B">
              <w:rPr>
                <w:rFonts w:ascii="Arial" w:hAnsi="Arial" w:cs="Arial"/>
                <w:sz w:val="20"/>
                <w:szCs w:val="20"/>
              </w:rPr>
              <w:t xml:space="preserve">, CSc., MUDr. Miroslava </w:t>
            </w:r>
            <w:proofErr w:type="spellStart"/>
            <w:r w:rsidRPr="006B322B">
              <w:rPr>
                <w:rFonts w:ascii="Arial" w:hAnsi="Arial" w:cs="Arial"/>
                <w:sz w:val="20"/>
                <w:szCs w:val="20"/>
              </w:rPr>
              <w:t>Hornychová</w:t>
            </w:r>
            <w:proofErr w:type="spellEnd"/>
            <w:r w:rsidRPr="006B322B">
              <w:rPr>
                <w:rFonts w:ascii="Arial" w:hAnsi="Arial" w:cs="Arial"/>
                <w:sz w:val="20"/>
                <w:szCs w:val="20"/>
              </w:rPr>
              <w:t xml:space="preserve">, CSc., MUDr. </w:t>
            </w:r>
            <w:proofErr w:type="spellStart"/>
            <w:r w:rsidRPr="006B322B">
              <w:rPr>
                <w:rFonts w:ascii="Arial" w:hAnsi="Arial" w:cs="Arial"/>
                <w:sz w:val="20"/>
                <w:szCs w:val="20"/>
              </w:rPr>
              <w:t>Zdeňka</w:t>
            </w:r>
            <w:proofErr w:type="spellEnd"/>
            <w:r w:rsidRPr="006B322B">
              <w:rPr>
                <w:rFonts w:ascii="Arial" w:hAnsi="Arial" w:cs="Arial"/>
                <w:sz w:val="20"/>
                <w:szCs w:val="20"/>
              </w:rPr>
              <w:t xml:space="preserve"> </w:t>
            </w:r>
            <w:proofErr w:type="spellStart"/>
            <w:r w:rsidRPr="006B322B">
              <w:rPr>
                <w:rFonts w:ascii="Arial" w:hAnsi="Arial" w:cs="Arial"/>
                <w:sz w:val="20"/>
                <w:szCs w:val="20"/>
              </w:rPr>
              <w:t>Trávníčková</w:t>
            </w:r>
            <w:proofErr w:type="spellEnd"/>
            <w:r w:rsidRPr="006B322B">
              <w:rPr>
                <w:rFonts w:ascii="Arial" w:hAnsi="Arial" w:cs="Arial"/>
                <w:sz w:val="20"/>
                <w:szCs w:val="20"/>
              </w:rPr>
              <w:t xml:space="preserve">, CSc., </w:t>
            </w:r>
            <w:proofErr w:type="spellStart"/>
            <w:r w:rsidRPr="006B322B">
              <w:rPr>
                <w:rFonts w:ascii="Arial" w:hAnsi="Arial" w:cs="Arial"/>
                <w:sz w:val="20"/>
                <w:szCs w:val="20"/>
              </w:rPr>
              <w:t>Jiř</w:t>
            </w:r>
            <w:r w:rsidR="00E05DF0" w:rsidRPr="006B322B">
              <w:rPr>
                <w:rFonts w:ascii="Arial" w:hAnsi="Arial" w:cs="Arial"/>
                <w:sz w:val="20"/>
                <w:szCs w:val="20"/>
              </w:rPr>
              <w:t>ina</w:t>
            </w:r>
            <w:proofErr w:type="spellEnd"/>
            <w:r w:rsidR="00E05DF0" w:rsidRPr="006B322B">
              <w:rPr>
                <w:rFonts w:ascii="Arial" w:hAnsi="Arial" w:cs="Arial"/>
                <w:sz w:val="20"/>
                <w:szCs w:val="20"/>
              </w:rPr>
              <w:t xml:space="preserve"> </w:t>
            </w:r>
            <w:proofErr w:type="spellStart"/>
            <w:r w:rsidR="00E05DF0" w:rsidRPr="006B322B">
              <w:rPr>
                <w:rFonts w:ascii="Arial" w:hAnsi="Arial" w:cs="Arial"/>
                <w:sz w:val="20"/>
                <w:szCs w:val="20"/>
              </w:rPr>
              <w:t>Fridrichovská</w:t>
            </w:r>
            <w:proofErr w:type="spellEnd"/>
            <w:r w:rsidR="00E05DF0" w:rsidRPr="006B322B">
              <w:rPr>
                <w:rFonts w:ascii="Arial" w:hAnsi="Arial" w:cs="Arial"/>
                <w:sz w:val="20"/>
                <w:szCs w:val="20"/>
              </w:rPr>
              <w:t xml:space="preserve">, </w:t>
            </w:r>
            <w:proofErr w:type="spellStart"/>
            <w:r w:rsidR="00E05DF0" w:rsidRPr="006B322B">
              <w:rPr>
                <w:rFonts w:ascii="Arial" w:hAnsi="Arial" w:cs="Arial"/>
                <w:sz w:val="20"/>
                <w:szCs w:val="20"/>
              </w:rPr>
              <w:t>prom</w:t>
            </w:r>
            <w:proofErr w:type="spellEnd"/>
            <w:r w:rsidR="00E05DF0" w:rsidRPr="006B322B">
              <w:rPr>
                <w:rFonts w:ascii="Arial" w:hAnsi="Arial" w:cs="Arial"/>
                <w:sz w:val="20"/>
                <w:szCs w:val="20"/>
              </w:rPr>
              <w:t xml:space="preserve">. </w:t>
            </w:r>
            <w:proofErr w:type="spellStart"/>
            <w:r w:rsidR="00E05DF0" w:rsidRPr="006B322B">
              <w:rPr>
                <w:rFonts w:ascii="Arial" w:hAnsi="Arial" w:cs="Arial"/>
                <w:sz w:val="20"/>
                <w:szCs w:val="20"/>
              </w:rPr>
              <w:t>chem</w:t>
            </w:r>
            <w:proofErr w:type="spellEnd"/>
            <w:r w:rsidR="00E05DF0" w:rsidRPr="006B322B">
              <w:rPr>
                <w:rFonts w:ascii="Arial" w:hAnsi="Arial" w:cs="Arial"/>
                <w:sz w:val="20"/>
                <w:szCs w:val="20"/>
              </w:rPr>
              <w:t>.</w:t>
            </w:r>
            <w:r w:rsidRPr="006B322B">
              <w:rPr>
                <w:rFonts w:ascii="Arial" w:hAnsi="Arial" w:cs="Arial"/>
                <w:sz w:val="20"/>
                <w:szCs w:val="20"/>
              </w:rPr>
              <w:t xml:space="preserve"> </w:t>
            </w:r>
          </w:p>
          <w:p w:rsidR="00E05DF0" w:rsidRPr="006B322B" w:rsidRDefault="00E05DF0" w:rsidP="00DD79BD">
            <w:pPr>
              <w:autoSpaceDE w:val="0"/>
              <w:autoSpaceDN w:val="0"/>
              <w:adjustRightInd w:val="0"/>
              <w:spacing w:after="0" w:line="240" w:lineRule="auto"/>
              <w:rPr>
                <w:rFonts w:ascii="Arial" w:hAnsi="Arial" w:cs="Arial"/>
                <w:sz w:val="20"/>
                <w:szCs w:val="20"/>
              </w:rPr>
            </w:pPr>
          </w:p>
          <w:p w:rsidR="00E05DF0" w:rsidRPr="006B322B" w:rsidRDefault="00E05DF0"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Plné znenie H-vyhlásení:</w:t>
            </w:r>
          </w:p>
          <w:p w:rsidR="00860B4D" w:rsidRPr="006B322B" w:rsidRDefault="00860B4D" w:rsidP="00860B4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H302 Škodlivý po požití.</w:t>
            </w:r>
          </w:p>
          <w:p w:rsidR="006B322B" w:rsidRPr="006B322B" w:rsidRDefault="006B322B" w:rsidP="006B322B">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H312 Škodlivý pri kontakte s pokožkou.</w:t>
            </w:r>
          </w:p>
          <w:p w:rsidR="00860B4D" w:rsidRPr="006B322B" w:rsidRDefault="00860B4D" w:rsidP="00860B4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H314 Spôsobuje vážne poleptanie kože a poškodenie očí.</w:t>
            </w:r>
          </w:p>
          <w:p w:rsidR="006B322B" w:rsidRPr="006B322B" w:rsidRDefault="006B322B" w:rsidP="00860B4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H315 Spôsobuje podráždenie kože. </w:t>
            </w:r>
          </w:p>
          <w:p w:rsidR="00860B4D" w:rsidRPr="006B322B" w:rsidRDefault="00860B4D" w:rsidP="00860B4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H317 Môže vyvolať alergickú kožnú reakciu.</w:t>
            </w:r>
          </w:p>
          <w:p w:rsidR="006B322B" w:rsidRPr="006B322B" w:rsidRDefault="006B322B" w:rsidP="006B322B">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H319 Spôsobuje vážne podráždenie očí.</w:t>
            </w:r>
          </w:p>
          <w:p w:rsidR="006B322B" w:rsidRPr="006B322B" w:rsidRDefault="006B322B" w:rsidP="006B322B">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H412 Škodlivý pre vodné organizmy, s dlhodobými účinkami.</w:t>
            </w:r>
          </w:p>
          <w:p w:rsidR="000E2E6E" w:rsidRPr="006B322B" w:rsidRDefault="006B322B" w:rsidP="006B322B">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Údaje od výrobcu látky / zmesi, ak sú k dispozícii - údaje z registračnej dokumentácie. </w:t>
            </w: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 xml:space="preserve">Ďalšie údaje Postup klasifikácie - metóda výpočtu. </w:t>
            </w:r>
          </w:p>
          <w:p w:rsidR="00D1286E" w:rsidRPr="006B322B" w:rsidRDefault="00D1286E" w:rsidP="00DD79BD">
            <w:pPr>
              <w:autoSpaceDE w:val="0"/>
              <w:autoSpaceDN w:val="0"/>
              <w:adjustRightInd w:val="0"/>
              <w:spacing w:after="0" w:line="240" w:lineRule="auto"/>
              <w:rPr>
                <w:rFonts w:ascii="Arial" w:hAnsi="Arial" w:cs="Arial"/>
                <w:sz w:val="20"/>
                <w:szCs w:val="20"/>
              </w:rPr>
            </w:pPr>
          </w:p>
          <w:p w:rsidR="00D1286E" w:rsidRPr="006B322B" w:rsidRDefault="00D1286E" w:rsidP="00DD79BD">
            <w:pPr>
              <w:autoSpaceDE w:val="0"/>
              <w:autoSpaceDN w:val="0"/>
              <w:adjustRightInd w:val="0"/>
              <w:spacing w:after="0" w:line="240" w:lineRule="auto"/>
              <w:rPr>
                <w:rFonts w:ascii="Arial" w:hAnsi="Arial" w:cs="Arial"/>
                <w:sz w:val="20"/>
                <w:szCs w:val="20"/>
              </w:rPr>
            </w:pPr>
            <w:r w:rsidRPr="006B322B">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0772E8"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0772E8" w:rsidTr="00DD79BD">
        <w:tc>
          <w:tcPr>
            <w:tcW w:w="9072" w:type="dxa"/>
            <w:shd w:val="clear" w:color="auto" w:fill="auto"/>
          </w:tcPr>
          <w:p w:rsidR="00DD79BD" w:rsidRPr="000772E8" w:rsidRDefault="00DD79BD"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Koniec karty bezpečnostných údajov</w:t>
            </w:r>
          </w:p>
        </w:tc>
      </w:tr>
    </w:tbl>
    <w:p w:rsidR="00DD79BD" w:rsidRPr="000772E8" w:rsidRDefault="00DD79BD" w:rsidP="00DD79BD">
      <w:pPr>
        <w:spacing w:after="0"/>
        <w:rPr>
          <w:rFonts w:ascii="Arial" w:hAnsi="Arial" w:cs="Arial"/>
          <w:sz w:val="20"/>
          <w:szCs w:val="20"/>
        </w:rPr>
      </w:pPr>
    </w:p>
    <w:p w:rsidR="00DD79BD" w:rsidRPr="000772E8" w:rsidRDefault="00DD79BD">
      <w:pPr>
        <w:rPr>
          <w:rFonts w:ascii="Arial" w:hAnsi="Arial" w:cs="Arial"/>
          <w:sz w:val="20"/>
          <w:szCs w:val="20"/>
        </w:rPr>
      </w:pPr>
    </w:p>
    <w:sectPr w:rsidR="00DD79BD" w:rsidRPr="000772E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428" w:rsidRDefault="00780428" w:rsidP="00DD79BD">
      <w:pPr>
        <w:spacing w:after="0" w:line="240" w:lineRule="auto"/>
      </w:pPr>
      <w:r>
        <w:separator/>
      </w:r>
    </w:p>
  </w:endnote>
  <w:endnote w:type="continuationSeparator" w:id="0">
    <w:p w:rsidR="00780428" w:rsidRDefault="00780428"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3F" w:rsidRPr="00DD79BD" w:rsidRDefault="00A17B3F" w:rsidP="00DD79BD">
    <w:pPr>
      <w:pStyle w:val="Pta"/>
      <w:rPr>
        <w:rFonts w:ascii="Arial" w:hAnsi="Arial" w:cs="Arial"/>
        <w:sz w:val="20"/>
      </w:rPr>
    </w:pPr>
    <w:proofErr w:type="spellStart"/>
    <w:r w:rsidRPr="00A17B3F">
      <w:rPr>
        <w:rFonts w:ascii="Arial" w:hAnsi="Arial" w:cs="Arial"/>
        <w:sz w:val="20"/>
        <w:szCs w:val="20"/>
      </w:rPr>
      <w:t>Cyklon</w:t>
    </w:r>
    <w:proofErr w:type="spellEnd"/>
    <w:r w:rsidRPr="00A17B3F">
      <w:rPr>
        <w:rFonts w:ascii="Arial" w:hAnsi="Arial" w:cs="Arial"/>
        <w:sz w:val="20"/>
        <w:szCs w:val="20"/>
      </w:rPr>
      <w:t xml:space="preserve"> Tekutý kov tužidlo</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9B2CD6">
      <w:rPr>
        <w:rFonts w:ascii="Arial" w:hAnsi="Arial" w:cs="Arial"/>
        <w:noProof/>
        <w:sz w:val="20"/>
      </w:rPr>
      <w:t>10</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9B2CD6">
      <w:rPr>
        <w:rFonts w:ascii="Arial" w:hAnsi="Arial" w:cs="Arial"/>
        <w:noProof/>
        <w:sz w:val="20"/>
      </w:rPr>
      <w:t>10</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428" w:rsidRDefault="00780428" w:rsidP="00DD79BD">
      <w:pPr>
        <w:spacing w:after="0" w:line="240" w:lineRule="auto"/>
      </w:pPr>
      <w:r>
        <w:separator/>
      </w:r>
    </w:p>
  </w:footnote>
  <w:footnote w:type="continuationSeparator" w:id="0">
    <w:p w:rsidR="00780428" w:rsidRDefault="00780428"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3F" w:rsidRDefault="00A17B3F"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A17B3F" w:rsidTr="00352853">
      <w:tc>
        <w:tcPr>
          <w:tcW w:w="9100" w:type="dxa"/>
          <w:gridSpan w:val="5"/>
          <w:hideMark/>
        </w:tcPr>
        <w:p w:rsidR="00A17B3F" w:rsidRDefault="00A17B3F"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A17B3F" w:rsidRDefault="00A17B3F"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A17B3F" w:rsidRDefault="00A17B3F"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A17B3F" w:rsidRDefault="00A17B3F"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A17B3F" w:rsidTr="00352853">
      <w:tc>
        <w:tcPr>
          <w:tcW w:w="9100" w:type="dxa"/>
          <w:gridSpan w:val="5"/>
          <w:tcBorders>
            <w:top w:val="single" w:sz="4" w:space="0" w:color="auto"/>
            <w:left w:val="single" w:sz="4" w:space="0" w:color="auto"/>
            <w:bottom w:val="single" w:sz="4" w:space="0" w:color="auto"/>
            <w:right w:val="single" w:sz="4" w:space="0" w:color="auto"/>
          </w:tcBorders>
          <w:hideMark/>
        </w:tcPr>
        <w:p w:rsidR="00A17B3F" w:rsidRPr="00A17B3F" w:rsidRDefault="00A17B3F" w:rsidP="00211B17">
          <w:pPr>
            <w:spacing w:after="0"/>
            <w:jc w:val="center"/>
            <w:rPr>
              <w:rFonts w:ascii="Arial" w:hAnsi="Arial" w:cs="Arial"/>
              <w:b/>
              <w:sz w:val="20"/>
              <w:szCs w:val="20"/>
            </w:rPr>
          </w:pPr>
          <w:proofErr w:type="spellStart"/>
          <w:r w:rsidRPr="00A17B3F">
            <w:rPr>
              <w:rFonts w:ascii="Arial" w:hAnsi="Arial" w:cs="Arial"/>
              <w:b/>
              <w:sz w:val="20"/>
              <w:szCs w:val="20"/>
            </w:rPr>
            <w:t>Cyklon</w:t>
          </w:r>
          <w:proofErr w:type="spellEnd"/>
          <w:r w:rsidRPr="00A17B3F">
            <w:rPr>
              <w:rFonts w:ascii="Arial" w:hAnsi="Arial" w:cs="Arial"/>
              <w:b/>
              <w:sz w:val="20"/>
              <w:szCs w:val="20"/>
            </w:rPr>
            <w:t xml:space="preserve"> Tekutý kov tužidlo</w:t>
          </w:r>
        </w:p>
      </w:tc>
    </w:tr>
    <w:tr w:rsidR="00A17B3F"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A17B3F" w:rsidRPr="004C5630" w:rsidRDefault="00A17B3F"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17B3F" w:rsidRPr="004C5630" w:rsidRDefault="009B2CD6" w:rsidP="00211B1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28. 12. 2022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17B3F" w:rsidRPr="004C5630" w:rsidRDefault="00A17B3F"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17B3F" w:rsidRPr="004C5630" w:rsidRDefault="00A17B3F" w:rsidP="00211B17">
          <w:pPr>
            <w:autoSpaceDE w:val="0"/>
            <w:autoSpaceDN w:val="0"/>
            <w:adjustRightInd w:val="0"/>
            <w:spacing w:after="0" w:line="240" w:lineRule="auto"/>
            <w:ind w:left="90"/>
            <w:rPr>
              <w:rFonts w:ascii="Arial" w:hAnsi="Arial" w:cs="Arial"/>
              <w:sz w:val="20"/>
              <w:szCs w:val="20"/>
            </w:rPr>
          </w:pPr>
        </w:p>
      </w:tc>
    </w:tr>
  </w:tbl>
  <w:p w:rsidR="00A17B3F" w:rsidRPr="00352853" w:rsidRDefault="00A17B3F">
    <w:pPr>
      <w:pStyle w:val="Hlavika"/>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20E46"/>
    <w:rsid w:val="000477F4"/>
    <w:rsid w:val="000772E8"/>
    <w:rsid w:val="0008489A"/>
    <w:rsid w:val="000C7D17"/>
    <w:rsid w:val="000E2E6E"/>
    <w:rsid w:val="000F5A44"/>
    <w:rsid w:val="0013241E"/>
    <w:rsid w:val="00166890"/>
    <w:rsid w:val="00195987"/>
    <w:rsid w:val="001B6432"/>
    <w:rsid w:val="001C6928"/>
    <w:rsid w:val="001E6994"/>
    <w:rsid w:val="00211B17"/>
    <w:rsid w:val="002133D0"/>
    <w:rsid w:val="00310718"/>
    <w:rsid w:val="0031583E"/>
    <w:rsid w:val="0034417B"/>
    <w:rsid w:val="00352853"/>
    <w:rsid w:val="00363D60"/>
    <w:rsid w:val="003671DA"/>
    <w:rsid w:val="00373919"/>
    <w:rsid w:val="0038199A"/>
    <w:rsid w:val="003A3FED"/>
    <w:rsid w:val="003A405E"/>
    <w:rsid w:val="003D0914"/>
    <w:rsid w:val="003F0969"/>
    <w:rsid w:val="004068A8"/>
    <w:rsid w:val="00453EDA"/>
    <w:rsid w:val="004B1F43"/>
    <w:rsid w:val="004C4623"/>
    <w:rsid w:val="004C5630"/>
    <w:rsid w:val="005232DD"/>
    <w:rsid w:val="005555FA"/>
    <w:rsid w:val="00555621"/>
    <w:rsid w:val="00577862"/>
    <w:rsid w:val="005D16EF"/>
    <w:rsid w:val="005D3712"/>
    <w:rsid w:val="005E68C9"/>
    <w:rsid w:val="00624F76"/>
    <w:rsid w:val="00656C5E"/>
    <w:rsid w:val="00667996"/>
    <w:rsid w:val="0069123C"/>
    <w:rsid w:val="006B24EF"/>
    <w:rsid w:val="006B322B"/>
    <w:rsid w:val="00702A05"/>
    <w:rsid w:val="00727DC9"/>
    <w:rsid w:val="00763E56"/>
    <w:rsid w:val="00780428"/>
    <w:rsid w:val="007B2605"/>
    <w:rsid w:val="007E5E9D"/>
    <w:rsid w:val="007F5F66"/>
    <w:rsid w:val="007F7839"/>
    <w:rsid w:val="0080446E"/>
    <w:rsid w:val="008378A2"/>
    <w:rsid w:val="00846B73"/>
    <w:rsid w:val="00860B4D"/>
    <w:rsid w:val="00865021"/>
    <w:rsid w:val="008E4DD7"/>
    <w:rsid w:val="008F3027"/>
    <w:rsid w:val="0094199D"/>
    <w:rsid w:val="009617D8"/>
    <w:rsid w:val="009B2CD6"/>
    <w:rsid w:val="009E2B14"/>
    <w:rsid w:val="00A17B3F"/>
    <w:rsid w:val="00AA266B"/>
    <w:rsid w:val="00AF5CEA"/>
    <w:rsid w:val="00AF72A9"/>
    <w:rsid w:val="00B06E2F"/>
    <w:rsid w:val="00B07E5D"/>
    <w:rsid w:val="00B12DC5"/>
    <w:rsid w:val="00B20145"/>
    <w:rsid w:val="00B44814"/>
    <w:rsid w:val="00C103A4"/>
    <w:rsid w:val="00C7481F"/>
    <w:rsid w:val="00C7544E"/>
    <w:rsid w:val="00C97141"/>
    <w:rsid w:val="00CE0639"/>
    <w:rsid w:val="00D1286E"/>
    <w:rsid w:val="00D20FCC"/>
    <w:rsid w:val="00D43DF3"/>
    <w:rsid w:val="00DB08E0"/>
    <w:rsid w:val="00DD79BD"/>
    <w:rsid w:val="00DE1247"/>
    <w:rsid w:val="00E05DF0"/>
    <w:rsid w:val="00E940DC"/>
    <w:rsid w:val="00EB5977"/>
    <w:rsid w:val="00EC7CD7"/>
    <w:rsid w:val="00ED0A4A"/>
    <w:rsid w:val="00EF6F1E"/>
    <w:rsid w:val="00F40284"/>
    <w:rsid w:val="00F537CC"/>
    <w:rsid w:val="00F72AC1"/>
    <w:rsid w:val="00F73132"/>
    <w:rsid w:val="00F852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6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ynexchemalex@gynexchemalex.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78DBF-C7BE-4E02-BCDE-D482A597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3311</Words>
  <Characters>18877</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4</cp:revision>
  <dcterms:created xsi:type="dcterms:W3CDTF">2021-06-14T07:11:00Z</dcterms:created>
  <dcterms:modified xsi:type="dcterms:W3CDTF">2022-12-17T15:15:00Z</dcterms:modified>
</cp:coreProperties>
</file>