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6548B4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5D3712" w:rsidTr="00DD79BD">
        <w:tc>
          <w:tcPr>
            <w:tcW w:w="9072" w:type="dxa"/>
            <w:gridSpan w:val="3"/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DB08E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08E0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DB08E0">
              <w:rPr>
                <w:rFonts w:ascii="Arial" w:hAnsi="Arial" w:cs="Arial"/>
                <w:sz w:val="20"/>
                <w:szCs w:val="20"/>
              </w:rPr>
              <w:t xml:space="preserve"> Štukatérsky tmel</w:t>
            </w:r>
          </w:p>
        </w:tc>
      </w:tr>
      <w:tr w:rsidR="00DB08E0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DB08E0" w:rsidRDefault="003A3FED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B08E0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5D3712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>1906401</w:t>
            </w:r>
          </w:p>
        </w:tc>
      </w:tr>
      <w:tr w:rsidR="00DD79BD" w:rsidRPr="005D371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1.2.</w:t>
            </w:r>
            <w:r w:rsidRPr="005D3712"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C7D17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C7D17">
              <w:rPr>
                <w:rFonts w:ascii="Arial" w:hAnsi="Arial" w:cs="Arial"/>
                <w:sz w:val="20"/>
                <w:szCs w:val="20"/>
              </w:rPr>
              <w:t>Tmel, lepidlo</w:t>
            </w:r>
          </w:p>
        </w:tc>
      </w:tr>
      <w:tr w:rsidR="00DD79BD" w:rsidRPr="005D371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C7D17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C7D17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9072" w:type="dxa"/>
            <w:gridSpan w:val="2"/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5D3712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9A47B3" w:rsidRPr="00DB08E0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DB08E0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  <w:bookmarkEnd w:id="0"/>
    </w:tbl>
    <w:p w:rsidR="00DD79BD" w:rsidRPr="00DB08E0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DB08E0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DB08E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>NÁRODNÉ TO</w:t>
            </w:r>
            <w:r>
              <w:rPr>
                <w:rFonts w:ascii="Arial" w:hAnsi="Arial" w:cs="Arial"/>
                <w:sz w:val="20"/>
                <w:szCs w:val="20"/>
              </w:rPr>
              <w:t>XIKOLOGICKÉ INFORMAČNÉ CENTRUM</w:t>
            </w:r>
          </w:p>
          <w:p w:rsid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>Univerzitná nemocnica Bratislava</w:t>
            </w:r>
            <w:r>
              <w:rPr>
                <w:rFonts w:ascii="Arial" w:hAnsi="Arial" w:cs="Arial"/>
                <w:sz w:val="20"/>
                <w:szCs w:val="20"/>
              </w:rPr>
              <w:t xml:space="preserve">, pracovisko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DB0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>Klinika pra</w:t>
            </w:r>
            <w:r>
              <w:rPr>
                <w:rFonts w:ascii="Arial" w:hAnsi="Arial" w:cs="Arial"/>
                <w:sz w:val="20"/>
                <w:szCs w:val="20"/>
              </w:rPr>
              <w:t xml:space="preserve">covného lekárstva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DB0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 xml:space="preserve">Limbová 5 </w:t>
            </w:r>
          </w:p>
          <w:p w:rsid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 05 Bratislava</w:t>
            </w:r>
            <w:r w:rsidRPr="00DB0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>telefón: +421 2 54 774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B08E0">
              <w:rPr>
                <w:rFonts w:ascii="Arial" w:hAnsi="Arial" w:cs="Arial"/>
                <w:sz w:val="20"/>
                <w:szCs w:val="20"/>
              </w:rPr>
              <w:t xml:space="preserve">166 </w:t>
            </w:r>
          </w:p>
          <w:p w:rsid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 xml:space="preserve">mobil: +421 911 </w:t>
            </w:r>
            <w:r>
              <w:rPr>
                <w:rFonts w:ascii="Arial" w:hAnsi="Arial" w:cs="Arial"/>
                <w:sz w:val="20"/>
                <w:szCs w:val="20"/>
              </w:rPr>
              <w:t>166 066, fax: +421 2 547 74 605</w:t>
            </w:r>
            <w:r w:rsidRPr="00DB0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79BD" w:rsidRPr="00DB08E0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DB08E0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8E0">
              <w:rPr>
                <w:rFonts w:ascii="Arial" w:hAnsi="Arial" w:cs="Arial"/>
                <w:sz w:val="20"/>
                <w:szCs w:val="20"/>
              </w:rPr>
              <w:t>Zmes neobsahuje látky, ktoré spĺňajú kritériá pre látky PBT alebo vPvB v súlade s prílohou XIII, nariadenie (ES) č. 1907/2006 (REACH) v platnom znení.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3.1. Látky</w:t>
            </w:r>
            <w:r w:rsidR="005D3712">
              <w:rPr>
                <w:rFonts w:ascii="Arial" w:hAnsi="Arial" w:cs="Arial"/>
                <w:sz w:val="20"/>
                <w:szCs w:val="20"/>
              </w:rPr>
              <w:t>: netýka sa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lastRenderedPageBreak/>
              <w:t>3.2. Zmesi</w:t>
            </w:r>
            <w:r w:rsidR="008378A2">
              <w:rPr>
                <w:rFonts w:ascii="Arial" w:hAnsi="Arial" w:cs="Arial"/>
                <w:sz w:val="20"/>
                <w:szCs w:val="20"/>
              </w:rPr>
              <w:t xml:space="preserve">: zmes neobsahuje nebezpečné látky s koncentráciou, expozičnými limitmi, ktoré treba uviesť. 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9072" w:type="dxa"/>
            <w:gridSpan w:val="2"/>
            <w:shd w:val="clear" w:color="auto" w:fill="auto"/>
          </w:tcPr>
          <w:p w:rsidR="00DD79BD" w:rsidRPr="005D3712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Plné znenie H-výstražných upozornení je v oddiele 16.</w:t>
            </w:r>
            <w:r w:rsidRPr="005D3712">
              <w:t xml:space="preserve"> </w:t>
            </w:r>
          </w:p>
        </w:tc>
      </w:tr>
      <w:tr w:rsidR="00DD79BD" w:rsidRPr="005D371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8378A2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5D3712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5D3712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2133D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 xml:space="preserve">V prípade akýchkoľvek pochybností konzultujte s lekárom. Ukážte túto kartu bezpečnostných údajov. </w:t>
            </w:r>
            <w:r w:rsidR="008378A2" w:rsidRPr="002133D0">
              <w:rPr>
                <w:rFonts w:ascii="Arial" w:hAnsi="Arial" w:cs="Arial"/>
                <w:sz w:val="20"/>
                <w:szCs w:val="20"/>
              </w:rPr>
              <w:t xml:space="preserve">Dbajte na vlastnú bezpečnosť. </w:t>
            </w:r>
          </w:p>
        </w:tc>
      </w:tr>
      <w:tr w:rsidR="00DD79BD" w:rsidRPr="005D3712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Ihneď prerušte expozíciu, dopravte zasiahnutú osobu na čerstvý vzduch.</w:t>
            </w:r>
          </w:p>
        </w:tc>
      </w:tr>
      <w:tr w:rsidR="00DD79BD" w:rsidRPr="005D3712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8378A2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Zoblečte znečistený odev. </w:t>
            </w:r>
            <w:r w:rsidR="00DD79BD" w:rsidRPr="005D3712">
              <w:rPr>
                <w:rFonts w:ascii="Arial" w:hAnsi="Arial" w:cs="Arial"/>
                <w:sz w:val="20"/>
                <w:szCs w:val="20"/>
              </w:rPr>
              <w:t>Umyť vodou a mydlom.</w:t>
            </w:r>
            <w:r w:rsidR="00DD79BD" w:rsidRPr="00213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5D3712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>
              <w:rPr>
                <w:rFonts w:ascii="Arial" w:hAnsi="Arial" w:cs="Arial"/>
                <w:sz w:val="20"/>
                <w:szCs w:val="20"/>
              </w:rPr>
              <w:t> </w:t>
            </w:r>
            <w:r w:rsidRPr="005D3712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5D3712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Vypláchnite ústa čistou vodou. V prípade ťažkostí vyhľadajte lekára. </w:t>
            </w:r>
          </w:p>
        </w:tc>
      </w:tr>
      <w:tr w:rsidR="00DD79BD" w:rsidRPr="005D3712" w:rsidTr="00DD79B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2133D0" w:rsidTr="00A076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133D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133D0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Pri vdýchnutí: Neočakávajú sa. </w:t>
            </w:r>
          </w:p>
          <w:p w:rsidR="002133D0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Pri kontakte s pokožkou: Neočakávajú sa. </w:t>
            </w:r>
          </w:p>
          <w:p w:rsidR="002133D0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Po zasiahnutí očí: Neočakávajú sa. </w:t>
            </w:r>
          </w:p>
          <w:p w:rsidR="000477F4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Po požití: Neočakávajú sa. </w:t>
            </w:r>
          </w:p>
        </w:tc>
      </w:tr>
      <w:tr w:rsidR="000477F4" w:rsidRPr="002133D0" w:rsidTr="00A076B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133D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133D0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2133D0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2133D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2133D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2133D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2133D0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2133D0" w:rsidTr="00DD79BD">
        <w:tc>
          <w:tcPr>
            <w:tcW w:w="9072" w:type="dxa"/>
            <w:shd w:val="clear" w:color="auto" w:fill="FFFF00"/>
          </w:tcPr>
          <w:p w:rsidR="00DD79BD" w:rsidRPr="002133D0" w:rsidRDefault="00DD79BD" w:rsidP="00B83E00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B83E00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2133D0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2133D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5.1.</w:t>
            </w:r>
            <w:r w:rsidRPr="00213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Hasiace prostriedky prispôsobte okoliu požiaru. </w:t>
            </w:r>
          </w:p>
        </w:tc>
      </w:tr>
      <w:tr w:rsidR="00DD79BD" w:rsidRPr="002133D0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2133D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2133D0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2133D0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2133D0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5D3712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Default="00DD79BD" w:rsidP="00DD79BD">
      <w:pPr>
        <w:spacing w:after="0"/>
        <w:rPr>
          <w:sz w:val="20"/>
        </w:rPr>
      </w:pPr>
    </w:p>
    <w:p w:rsidR="006548B4" w:rsidRDefault="006548B4" w:rsidP="00DD79BD">
      <w:pPr>
        <w:spacing w:after="0"/>
        <w:rPr>
          <w:sz w:val="20"/>
        </w:rPr>
      </w:pPr>
    </w:p>
    <w:p w:rsidR="006548B4" w:rsidRPr="005D3712" w:rsidRDefault="006548B4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6: Opatrenia pri náhodnom uvoľnení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Postupujte podľa pokynov, obsiahnutých v oddieloch 7 a 8. 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5D3712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Používajte osobné ochranné pracovné prostriedky podľa oddielu 8. Dbajte na platné právne predpisy o bezpečnosti a ochrane zdravia. 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2133D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DD79BD" w:rsidRPr="002133D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Obsah 310 ml, 70 ml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5D3712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5D3712" w:rsidRDefault="002133D0" w:rsidP="00DD79B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5D3712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8.2.</w:t>
            </w:r>
            <w:r w:rsidRPr="005D3712"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5D3712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spacing w:after="0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2133D0" w:rsidRPr="002133D0">
              <w:rPr>
                <w:rFonts w:ascii="Arial" w:hAnsi="Arial" w:cs="Arial"/>
                <w:sz w:val="20"/>
                <w:szCs w:val="20"/>
              </w:rPr>
              <w:t>Nie je nutná.</w:t>
            </w:r>
            <w:r w:rsidRPr="005D371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2133D0" w:rsidRPr="002133D0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 xml:space="preserve">Ochrana rúk: </w:t>
            </w:r>
            <w:r w:rsidR="002133D0" w:rsidRPr="002133D0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DD79BD" w:rsidRPr="002133D0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2133D0" w:rsidRPr="002133D0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2133D0" w:rsidRPr="002133D0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3D0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5D3712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spacing w:after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Zabrániť úniku do verejnej kanalizácie.</w:t>
            </w:r>
            <w:r w:rsidRPr="005D3712">
              <w:t xml:space="preserve"> 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Pasta pri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D3712" w:rsidRDefault="000477F4" w:rsidP="000477F4">
            <w:pPr>
              <w:spacing w:after="0"/>
            </w:pPr>
          </w:p>
        </w:tc>
      </w:tr>
      <w:tr w:rsidR="000477F4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D3712" w:rsidRDefault="000477F4" w:rsidP="000477F4">
            <w:pPr>
              <w:spacing w:after="0"/>
            </w:pPr>
          </w:p>
        </w:tc>
      </w:tr>
      <w:tr w:rsidR="000477F4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D3712" w:rsidRDefault="000477F4" w:rsidP="000477F4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spacing w:after="0"/>
            </w:pPr>
          </w:p>
        </w:tc>
      </w:tr>
      <w:tr w:rsidR="000477F4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s vodou miešateľný</w:t>
            </w:r>
            <w:r w:rsidR="000477F4" w:rsidRPr="00453E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453EDA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5D3712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5D3712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453EDA">
              <w:rPr>
                <w:rFonts w:ascii="Arial" w:hAnsi="Arial" w:cs="Arial"/>
                <w:sz w:val="20"/>
                <w:szCs w:val="20"/>
              </w:rPr>
              <w:t>ie</w:t>
            </w:r>
            <w:r w:rsidRPr="00453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453EDA">
              <w:rPr>
                <w:rFonts w:ascii="Arial" w:hAnsi="Arial" w:cs="Arial"/>
                <w:sz w:val="20"/>
                <w:szCs w:val="20"/>
              </w:rPr>
              <w:t>sú známe</w:t>
            </w:r>
            <w:r w:rsidRPr="00453E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Pri normálnom spôsobe použitia je produkt stabilný, k rozkladu nedochádza. Chráňte pred plameňmi, iskrami, prehriatím a pred mrazom. 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9072" w:type="dxa"/>
            <w:gridSpan w:val="2"/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>
              <w:rPr>
                <w:rFonts w:ascii="Arial" w:hAnsi="Arial" w:cs="Arial"/>
                <w:sz w:val="20"/>
                <w:szCs w:val="20"/>
              </w:rPr>
              <w:t>I</w:t>
            </w:r>
            <w:r w:rsidR="00F537CC">
              <w:t>nformácie o triedach nebezpečnosti vymedzených v nariadení (ES) č. 1272/2008</w:t>
            </w:r>
          </w:p>
        </w:tc>
      </w:tr>
      <w:tr w:rsidR="00DD79BD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lastRenderedPageBreak/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453EDA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>
              <w:t xml:space="preserve">Aspiračná </w:t>
            </w:r>
            <w:r>
              <w:rPr>
                <w:rFonts w:ascii="Arial" w:hAnsi="Arial" w:cs="Arial"/>
                <w:sz w:val="20"/>
                <w:szCs w:val="20"/>
              </w:rPr>
              <w:t>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F537CC" w:rsidRPr="00C7544E" w:rsidTr="00E60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5D3712" w:rsidRDefault="009A47B3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12.2. Perzistencia a 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Údaj nie je k dispozícii.</w:t>
            </w:r>
          </w:p>
        </w:tc>
      </w:tr>
      <w:tr w:rsidR="00453EDA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5D3712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>
              <w:rPr>
                <w:rFonts w:ascii="Arial" w:hAnsi="Arial" w:cs="Arial"/>
                <w:sz w:val="20"/>
                <w:szCs w:val="20"/>
              </w:rPr>
              <w:t> </w:t>
            </w:r>
            <w:r w:rsidRPr="005D3712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9A47B3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7F0B8C" w:rsidRDefault="009A47B3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B3" w:rsidRPr="00A7318E" w:rsidRDefault="009A47B3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5D3712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9A47B3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12.</w:t>
            </w:r>
            <w:r w:rsidR="009A47B3">
              <w:rPr>
                <w:rFonts w:ascii="Arial" w:hAnsi="Arial" w:cs="Arial"/>
                <w:sz w:val="20"/>
                <w:szCs w:val="20"/>
              </w:rPr>
              <w:t>7</w:t>
            </w:r>
            <w:r w:rsidRPr="005D3712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453EDA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53EDA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1286E" w:rsidP="00DD79BD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Nebezpečenstvo kontaminácie životného prostredia, postupujte podľa Zákona NR SR č. 79/2015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86E">
              <w:rPr>
                <w:rFonts w:ascii="Arial" w:hAnsi="Arial" w:cs="Arial"/>
                <w:sz w:val="20"/>
                <w:szCs w:val="20"/>
              </w:rPr>
              <w:t xml:space="preserve">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Kód druhu odpadu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128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08 04 10 odpadové lepidlá a tesniace materiály iné ako uvedené v 08 04 09 </w:t>
            </w:r>
          </w:p>
          <w:p w:rsidR="00DD79BD" w:rsidRPr="00D1286E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Obal: </w:t>
            </w:r>
            <w:r w:rsidRPr="00D1286E">
              <w:rPr>
                <w:rFonts w:ascii="Arial" w:hAnsi="Arial" w:cs="Arial"/>
                <w:sz w:val="20"/>
                <w:szCs w:val="20"/>
              </w:rPr>
              <w:t>15 01 02 obaly z plastov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spacing w:after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3712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3712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3712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712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5D3712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5D3712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5D3712" w:rsidRDefault="000477F4" w:rsidP="00DD79BD">
            <w:pPr>
              <w:spacing w:after="0"/>
            </w:pPr>
            <w:r>
              <w:t>Nebolo vykonané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FFFF00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</w:pPr>
            <w:r w:rsidRPr="005D3712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auto"/>
          </w:tcPr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Ďalšie informácie dôležité z hľadiska bezpečnosti a ochrany zdravia človeka Výrobok nesmie byť - bez zvláštneho súhlasu výrobcu/dovozcu - používaný na i</w:t>
            </w:r>
            <w:r>
              <w:rPr>
                <w:rFonts w:ascii="Arial" w:hAnsi="Arial" w:cs="Arial"/>
                <w:sz w:val="20"/>
                <w:szCs w:val="20"/>
              </w:rPr>
              <w:t>ný účel ako je uvedené v oddiele</w:t>
            </w:r>
            <w:r w:rsidRPr="00D1286E">
              <w:rPr>
                <w:rFonts w:ascii="Arial" w:hAnsi="Arial" w:cs="Arial"/>
                <w:sz w:val="20"/>
                <w:szCs w:val="20"/>
              </w:rPr>
              <w:t xml:space="preserve"> 1. Užívateľ je zodpovedný za dodržiavanie všetkých súvisiacich predpisov na ochranu zdravia.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EC</w:t>
            </w:r>
            <w:r w:rsidRPr="00D1286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D1286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ES je číselný identifikátor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látek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seznamu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lastRenderedPageBreak/>
              <w:t xml:space="preserve">IBC Medzinárodný predpis pre stavbu a vybavenie lodí hromadne prepravujúce nebezpečné chemikálie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IC</w:t>
            </w:r>
            <w:r w:rsidRPr="00D1286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D1286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LC</w:t>
            </w:r>
            <w:r w:rsidRPr="00D1286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D1286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LD</w:t>
            </w:r>
            <w:r w:rsidRPr="00D1286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D1286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Informácie o zdrojoch údajov použitých pri zostavovaní karty bezpečnostných údajov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Zásady pre poskytovanie prvej pomoci pri expozícii chemickými látkami (Zásady pro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Jiřina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1286E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Pr="00D1286E">
              <w:rPr>
                <w:rFonts w:ascii="Arial" w:hAnsi="Arial" w:cs="Arial"/>
                <w:sz w:val="20"/>
                <w:szCs w:val="20"/>
              </w:rPr>
              <w:t xml:space="preserve">.).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D1286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86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5D3712" w:rsidTr="00DD79BD">
        <w:tc>
          <w:tcPr>
            <w:tcW w:w="9072" w:type="dxa"/>
            <w:shd w:val="clear" w:color="auto" w:fill="auto"/>
          </w:tcPr>
          <w:p w:rsidR="00DD79BD" w:rsidRPr="005D3712" w:rsidRDefault="00DD79BD" w:rsidP="00DD79BD">
            <w:pPr>
              <w:autoSpaceDE w:val="0"/>
              <w:autoSpaceDN w:val="0"/>
              <w:adjustRightInd w:val="0"/>
              <w:spacing w:after="0" w:line="240" w:lineRule="auto"/>
            </w:pPr>
            <w:r w:rsidRPr="005D3712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5D3712" w:rsidRDefault="00DD79BD" w:rsidP="00DD79BD">
      <w:pPr>
        <w:spacing w:after="0"/>
        <w:rPr>
          <w:sz w:val="20"/>
        </w:rPr>
      </w:pPr>
    </w:p>
    <w:p w:rsidR="00DD79BD" w:rsidRPr="005D3712" w:rsidRDefault="00DD79BD"/>
    <w:sectPr w:rsidR="00DD79BD" w:rsidRPr="005D37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F3" w:rsidRDefault="006A6DF3" w:rsidP="00DD79BD">
      <w:pPr>
        <w:spacing w:after="0" w:line="240" w:lineRule="auto"/>
      </w:pPr>
      <w:r>
        <w:separator/>
      </w:r>
    </w:p>
  </w:endnote>
  <w:endnote w:type="continuationSeparator" w:id="0">
    <w:p w:rsidR="006A6DF3" w:rsidRDefault="006A6DF3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BD" w:rsidRPr="00DD79BD" w:rsidRDefault="00DD79BD" w:rsidP="00DD79BD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  <w:proofErr w:type="spellStart"/>
    <w:r w:rsidR="008378A2" w:rsidRPr="00DB08E0">
      <w:rPr>
        <w:rFonts w:ascii="Arial" w:hAnsi="Arial" w:cs="Arial"/>
        <w:sz w:val="20"/>
        <w:szCs w:val="20"/>
      </w:rPr>
      <w:t>Cyklon</w:t>
    </w:r>
    <w:proofErr w:type="spellEnd"/>
    <w:r w:rsidR="008378A2" w:rsidRPr="00DB08E0">
      <w:rPr>
        <w:rFonts w:ascii="Arial" w:hAnsi="Arial" w:cs="Arial"/>
        <w:sz w:val="20"/>
        <w:szCs w:val="20"/>
      </w:rPr>
      <w:t xml:space="preserve"> Štukatérsky tmel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9A47B3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9A47B3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F3" w:rsidRDefault="006A6DF3" w:rsidP="00DD79BD">
      <w:pPr>
        <w:spacing w:after="0" w:line="240" w:lineRule="auto"/>
      </w:pPr>
      <w:r>
        <w:separator/>
      </w:r>
    </w:p>
  </w:footnote>
  <w:footnote w:type="continuationSeparator" w:id="0">
    <w:p w:rsidR="006A6DF3" w:rsidRDefault="006A6DF3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BF" w:rsidRDefault="00DD38BF" w:rsidP="00DD38BF">
    <w:pPr>
      <w:pStyle w:val="Hlavika"/>
    </w:pPr>
  </w:p>
  <w:tbl>
    <w:tblPr>
      <w:tblW w:w="9087" w:type="dxa"/>
      <w:tblInd w:w="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"/>
      <w:gridCol w:w="2253"/>
      <w:gridCol w:w="2268"/>
      <w:gridCol w:w="2268"/>
      <w:gridCol w:w="2268"/>
      <w:gridCol w:w="15"/>
    </w:tblGrid>
    <w:tr w:rsidR="00DD38BF" w:rsidRPr="004C5630" w:rsidTr="006548B4">
      <w:trPr>
        <w:gridBefore w:val="1"/>
        <w:wBefore w:w="15" w:type="dxa"/>
      </w:trPr>
      <w:tc>
        <w:tcPr>
          <w:tcW w:w="9072" w:type="dxa"/>
          <w:gridSpan w:val="5"/>
          <w:shd w:val="clear" w:color="auto" w:fill="auto"/>
        </w:tcPr>
        <w:p w:rsidR="00410ECC" w:rsidRDefault="00410ECC" w:rsidP="00410EC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95250</wp:posOffset>
                </wp:positionV>
                <wp:extent cx="1290955" cy="516890"/>
                <wp:effectExtent l="0" t="0" r="4445" b="0"/>
                <wp:wrapSquare wrapText="bothSides"/>
                <wp:docPr id="1" name="Obrázok 1" descr="cyklon logo 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cyklon logo 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955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10ECC" w:rsidRDefault="00410ECC" w:rsidP="00410EC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410ECC" w:rsidRDefault="00410ECC" w:rsidP="00410EC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DD38BF" w:rsidRPr="002A6837" w:rsidRDefault="00410ECC" w:rsidP="00410EC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DD38BF" w:rsidRPr="004C5630" w:rsidTr="006548B4">
      <w:trPr>
        <w:gridBefore w:val="1"/>
        <w:wBefore w:w="15" w:type="dxa"/>
      </w:trPr>
      <w:tc>
        <w:tcPr>
          <w:tcW w:w="907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38BF" w:rsidRPr="006548B4" w:rsidRDefault="006548B4" w:rsidP="00DD38BF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6548B4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6548B4">
            <w:rPr>
              <w:rFonts w:ascii="Arial" w:hAnsi="Arial" w:cs="Arial"/>
              <w:b/>
              <w:sz w:val="20"/>
              <w:szCs w:val="20"/>
            </w:rPr>
            <w:t xml:space="preserve"> Štukatérsky tmel</w:t>
          </w:r>
        </w:p>
      </w:tc>
    </w:tr>
    <w:tr w:rsidR="006548B4" w:rsidRPr="005D3712" w:rsidTr="006548B4">
      <w:trPr>
        <w:gridAfter w:val="1"/>
        <w:wAfter w:w="15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548B4" w:rsidRPr="005D3712" w:rsidRDefault="006548B4" w:rsidP="006548B4">
          <w:pPr>
            <w:autoSpaceDE w:val="0"/>
            <w:autoSpaceDN w:val="0"/>
            <w:adjustRightInd w:val="0"/>
            <w:spacing w:after="0" w:line="240" w:lineRule="auto"/>
            <w:ind w:left="90"/>
          </w:pPr>
          <w:r w:rsidRPr="005D3712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548B4" w:rsidRPr="005D3712" w:rsidRDefault="009A47B3" w:rsidP="006548B4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548B4" w:rsidRPr="005D3712" w:rsidRDefault="006548B4" w:rsidP="006548B4">
          <w:pPr>
            <w:autoSpaceDE w:val="0"/>
            <w:autoSpaceDN w:val="0"/>
            <w:adjustRightInd w:val="0"/>
            <w:spacing w:after="0" w:line="240" w:lineRule="auto"/>
            <w:ind w:left="90"/>
          </w:pPr>
          <w:r w:rsidRPr="005D3712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548B4" w:rsidRPr="005D3712" w:rsidRDefault="006548B4" w:rsidP="006548B4">
          <w:pPr>
            <w:spacing w:after="0"/>
          </w:pPr>
        </w:p>
      </w:tc>
    </w:tr>
  </w:tbl>
  <w:p w:rsidR="00DD38BF" w:rsidRDefault="00DD38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7F1C"/>
    <w:rsid w:val="000477F4"/>
    <w:rsid w:val="000C7D17"/>
    <w:rsid w:val="002133D0"/>
    <w:rsid w:val="003A3FED"/>
    <w:rsid w:val="00410ECC"/>
    <w:rsid w:val="00453EDA"/>
    <w:rsid w:val="005D3712"/>
    <w:rsid w:val="00624F76"/>
    <w:rsid w:val="006548B4"/>
    <w:rsid w:val="006A6DF3"/>
    <w:rsid w:val="006E5654"/>
    <w:rsid w:val="007F7839"/>
    <w:rsid w:val="008378A2"/>
    <w:rsid w:val="0091508F"/>
    <w:rsid w:val="009322A2"/>
    <w:rsid w:val="009A47B3"/>
    <w:rsid w:val="00B83E00"/>
    <w:rsid w:val="00C7544E"/>
    <w:rsid w:val="00D1286E"/>
    <w:rsid w:val="00DB08E0"/>
    <w:rsid w:val="00DD38BF"/>
    <w:rsid w:val="00DD79BD"/>
    <w:rsid w:val="00E073AC"/>
    <w:rsid w:val="00E940DC"/>
    <w:rsid w:val="00F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D60F8-45F1-418C-93B4-A645E88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nexchemalex@gynexchemalex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15</cp:revision>
  <dcterms:created xsi:type="dcterms:W3CDTF">2021-06-01T13:04:00Z</dcterms:created>
  <dcterms:modified xsi:type="dcterms:W3CDTF">2022-12-17T14:32:00Z</dcterms:modified>
</cp:coreProperties>
</file>