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342B9" w:rsidTr="00211B17">
        <w:tc>
          <w:tcPr>
            <w:tcW w:w="9072" w:type="dxa"/>
            <w:shd w:val="clear" w:color="auto" w:fill="FFFF00"/>
          </w:tcPr>
          <w:p w:rsidR="00DD79BD" w:rsidRPr="001342B9" w:rsidRDefault="00DD79BD" w:rsidP="00DD79BD">
            <w:pPr>
              <w:autoSpaceDE w:val="0"/>
              <w:autoSpaceDN w:val="0"/>
              <w:adjustRightInd w:val="0"/>
              <w:spacing w:after="0" w:line="240" w:lineRule="auto"/>
              <w:ind w:left="150"/>
              <w:rPr>
                <w:rFonts w:ascii="Arial" w:hAnsi="Arial" w:cs="Arial"/>
                <w:sz w:val="20"/>
                <w:szCs w:val="20"/>
              </w:rPr>
            </w:pPr>
            <w:r w:rsidRPr="001342B9">
              <w:rPr>
                <w:rFonts w:ascii="Arial" w:hAnsi="Arial" w:cs="Arial"/>
                <w:b/>
                <w:bCs/>
                <w:sz w:val="20"/>
                <w:szCs w:val="20"/>
              </w:rPr>
              <w:t>ODDIEL 1: Identifikácia látky/zmesi a spoločnosti/podniku</w:t>
            </w:r>
          </w:p>
        </w:tc>
      </w:tr>
    </w:tbl>
    <w:p w:rsidR="00DD79BD" w:rsidRPr="008B7EB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8B7EB8" w:rsidTr="00DD79BD">
        <w:tc>
          <w:tcPr>
            <w:tcW w:w="9072" w:type="dxa"/>
            <w:gridSpan w:val="3"/>
            <w:shd w:val="clear" w:color="auto" w:fill="auto"/>
          </w:tcPr>
          <w:p w:rsidR="00DD79BD" w:rsidRPr="008B7EB8" w:rsidRDefault="00DD79BD" w:rsidP="00DD79BD">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1.1. Identifikátor produktu</w:t>
            </w:r>
          </w:p>
        </w:tc>
      </w:tr>
      <w:tr w:rsidR="00DD79BD" w:rsidRPr="008B7EB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DD79BD" w:rsidP="00DD79BD">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12FA9" w:rsidRDefault="00012FA9" w:rsidP="00DB08E0">
            <w:pPr>
              <w:autoSpaceDE w:val="0"/>
              <w:autoSpaceDN w:val="0"/>
              <w:adjustRightInd w:val="0"/>
              <w:spacing w:after="0" w:line="240" w:lineRule="auto"/>
              <w:ind w:left="90"/>
              <w:rPr>
                <w:rFonts w:ascii="Arial" w:hAnsi="Arial" w:cs="Arial"/>
                <w:sz w:val="20"/>
                <w:szCs w:val="20"/>
              </w:rPr>
            </w:pPr>
            <w:proofErr w:type="spellStart"/>
            <w:r w:rsidRPr="00012FA9">
              <w:rPr>
                <w:rFonts w:ascii="Arial" w:hAnsi="Arial" w:cs="Arial"/>
                <w:sz w:val="20"/>
                <w:szCs w:val="20"/>
              </w:rPr>
              <w:t>Cyklon</w:t>
            </w:r>
            <w:proofErr w:type="spellEnd"/>
            <w:r w:rsidRPr="00012FA9">
              <w:rPr>
                <w:rFonts w:ascii="Arial" w:hAnsi="Arial" w:cs="Arial"/>
                <w:sz w:val="20"/>
                <w:szCs w:val="20"/>
              </w:rPr>
              <w:t xml:space="preserve"> Čistič bŕzd</w:t>
            </w:r>
          </w:p>
        </w:tc>
      </w:tr>
      <w:tr w:rsidR="00AF72A9" w:rsidRPr="008B7EB8"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8B7EB8" w:rsidRDefault="00AF72A9" w:rsidP="00352853">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 xml:space="preserve">UFI: </w:t>
            </w:r>
            <w:r w:rsidR="00352853" w:rsidRPr="008B7EB8">
              <w:rPr>
                <w:rFonts w:ascii="Arial" w:hAnsi="Arial" w:cs="Arial"/>
                <w:sz w:val="20"/>
                <w:szCs w:val="20"/>
              </w:rPr>
              <w:t xml:space="preserve"> </w:t>
            </w:r>
            <w:r w:rsidR="00012FA9" w:rsidRPr="00012FA9">
              <w:rPr>
                <w:rFonts w:ascii="Arial" w:hAnsi="Arial" w:cs="Arial"/>
                <w:sz w:val="20"/>
                <w:szCs w:val="20"/>
              </w:rPr>
              <w:t>P470-106D-V00X-RK1W</w:t>
            </w:r>
          </w:p>
        </w:tc>
      </w:tr>
      <w:tr w:rsidR="00DB08E0" w:rsidRPr="008B7EB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8B7EB8" w:rsidRDefault="00DB08E0" w:rsidP="00DD79BD">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8B7EB8" w:rsidRDefault="00012FA9" w:rsidP="00DB08E0">
            <w:pPr>
              <w:autoSpaceDE w:val="0"/>
              <w:autoSpaceDN w:val="0"/>
              <w:adjustRightInd w:val="0"/>
              <w:spacing w:after="0" w:line="240" w:lineRule="auto"/>
              <w:ind w:left="90"/>
              <w:rPr>
                <w:rFonts w:ascii="Arial" w:hAnsi="Arial" w:cs="Arial"/>
                <w:sz w:val="20"/>
                <w:szCs w:val="20"/>
              </w:rPr>
            </w:pPr>
            <w:r>
              <w:t>1902301</w:t>
            </w:r>
          </w:p>
        </w:tc>
      </w:tr>
      <w:tr w:rsidR="00DD79BD" w:rsidRPr="008B7EB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DD79BD" w:rsidP="00DD79BD">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DD79BD" w:rsidP="00DD79BD">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1A196A" w:rsidP="00AA266B">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Čistiaci prostriedok.</w:t>
            </w:r>
          </w:p>
        </w:tc>
      </w:tr>
      <w:tr w:rsidR="00DD79BD" w:rsidRPr="008B7EB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DD79BD" w:rsidP="00DD79BD">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DB08E0" w:rsidP="000C7D17">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Produkt nesmie byť používaný inými spôsobmi, než ktoré sú uvedené v oddiele 1.</w:t>
            </w:r>
          </w:p>
        </w:tc>
      </w:tr>
    </w:tbl>
    <w:p w:rsidR="00DD79BD" w:rsidRPr="008B7EB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B7EB8" w:rsidTr="00DD79BD">
        <w:tc>
          <w:tcPr>
            <w:tcW w:w="9072" w:type="dxa"/>
            <w:gridSpan w:val="2"/>
            <w:shd w:val="clear" w:color="auto" w:fill="auto"/>
          </w:tcPr>
          <w:p w:rsidR="00DD79BD" w:rsidRPr="008B7EB8" w:rsidRDefault="00DD79BD" w:rsidP="00DD79BD">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1.3. Údaje o dodávateľovi karty bezpečnostných údajov</w:t>
            </w:r>
          </w:p>
        </w:tc>
      </w:tr>
      <w:tr w:rsidR="00DD79BD" w:rsidRPr="008B7EB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DD79BD" w:rsidP="00DD79BD">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B7EB8" w:rsidRDefault="00DB08E0" w:rsidP="00DB08E0">
            <w:pPr>
              <w:autoSpaceDE w:val="0"/>
              <w:autoSpaceDN w:val="0"/>
              <w:adjustRightInd w:val="0"/>
              <w:spacing w:after="0" w:line="240" w:lineRule="auto"/>
              <w:ind w:left="90"/>
              <w:rPr>
                <w:rFonts w:ascii="Arial" w:hAnsi="Arial" w:cs="Arial"/>
                <w:sz w:val="20"/>
                <w:szCs w:val="20"/>
              </w:rPr>
            </w:pPr>
            <w:r w:rsidRPr="008B7EB8">
              <w:rPr>
                <w:rFonts w:ascii="Arial" w:hAnsi="Arial" w:cs="Arial"/>
                <w:sz w:val="20"/>
                <w:szCs w:val="20"/>
              </w:rPr>
              <w:t>GYNEX spol</w:t>
            </w:r>
            <w:r w:rsidR="00020E46" w:rsidRPr="008B7EB8">
              <w:rPr>
                <w:rFonts w:ascii="Arial" w:hAnsi="Arial" w:cs="Arial"/>
                <w:sz w:val="20"/>
                <w:szCs w:val="20"/>
              </w:rPr>
              <w:t>.</w:t>
            </w:r>
            <w:r w:rsidRPr="008B7EB8">
              <w:rPr>
                <w:rFonts w:ascii="Arial" w:hAnsi="Arial" w:cs="Arial"/>
                <w:sz w:val="20"/>
                <w:szCs w:val="20"/>
              </w:rPr>
              <w:t xml:space="preserve"> </w:t>
            </w:r>
            <w:proofErr w:type="spellStart"/>
            <w:r w:rsidRPr="008B7EB8">
              <w:rPr>
                <w:rFonts w:ascii="Arial" w:hAnsi="Arial" w:cs="Arial"/>
                <w:sz w:val="20"/>
                <w:szCs w:val="20"/>
              </w:rPr>
              <w:t>s.r.o</w:t>
            </w:r>
            <w:proofErr w:type="spellEnd"/>
            <w:r w:rsidRPr="008B7EB8">
              <w:rPr>
                <w:rFonts w:ascii="Arial" w:hAnsi="Arial" w:cs="Arial"/>
                <w:sz w:val="20"/>
                <w:szCs w:val="20"/>
              </w:rPr>
              <w:t>.</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31373054</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Na Lánoch 10</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821 04</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Bratislava</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FA14BA"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Slovenská republika</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+412 905 568 121</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gynex@gynex.sk</w:t>
            </w:r>
          </w:p>
        </w:tc>
      </w:tr>
      <w:tr w:rsidR="00DD79BD" w:rsidRPr="001342B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5D3712"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840A9E" w:rsidP="00DB08E0">
            <w:pPr>
              <w:autoSpaceDE w:val="0"/>
              <w:autoSpaceDN w:val="0"/>
              <w:adjustRightInd w:val="0"/>
              <w:spacing w:after="0" w:line="240" w:lineRule="auto"/>
              <w:ind w:left="90"/>
              <w:rPr>
                <w:rFonts w:ascii="Arial" w:hAnsi="Arial" w:cs="Arial"/>
                <w:sz w:val="20"/>
                <w:szCs w:val="20"/>
              </w:rPr>
            </w:pPr>
            <w:hyperlink r:id="rId8" w:history="1">
              <w:r w:rsidR="00DB08E0" w:rsidRPr="001342B9">
                <w:rPr>
                  <w:rFonts w:ascii="Arial" w:hAnsi="Arial" w:cs="Arial"/>
                  <w:sz w:val="20"/>
                  <w:szCs w:val="20"/>
                </w:rPr>
                <w:t>gynex@gynex.sk</w:t>
              </w:r>
            </w:hyperlink>
          </w:p>
        </w:tc>
      </w:tr>
    </w:tbl>
    <w:p w:rsidR="00DD79BD" w:rsidRPr="001342B9"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342B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NÁRODNÉ TOXIKOLOGICKÉ INFORMAČNÉ CENTRUM</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Univerzitná nemocnica Bratislava, pracovisko </w:t>
            </w:r>
            <w:proofErr w:type="spellStart"/>
            <w:r w:rsidRPr="001342B9">
              <w:rPr>
                <w:rFonts w:ascii="Arial" w:hAnsi="Arial" w:cs="Arial"/>
                <w:sz w:val="20"/>
                <w:szCs w:val="20"/>
              </w:rPr>
              <w:t>Kramáre</w:t>
            </w:r>
            <w:proofErr w:type="spellEnd"/>
            <w:r w:rsidRPr="001342B9">
              <w:rPr>
                <w:rFonts w:ascii="Arial" w:hAnsi="Arial" w:cs="Arial"/>
                <w:sz w:val="20"/>
                <w:szCs w:val="20"/>
              </w:rPr>
              <w:t xml:space="preserve"> </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Klinika pracovného lekárstva a </w:t>
            </w:r>
            <w:proofErr w:type="spellStart"/>
            <w:r w:rsidRPr="001342B9">
              <w:rPr>
                <w:rFonts w:ascii="Arial" w:hAnsi="Arial" w:cs="Arial"/>
                <w:sz w:val="20"/>
                <w:szCs w:val="20"/>
              </w:rPr>
              <w:t>toxikológie</w:t>
            </w:r>
            <w:proofErr w:type="spellEnd"/>
            <w:r w:rsidRPr="001342B9">
              <w:rPr>
                <w:rFonts w:ascii="Arial" w:hAnsi="Arial" w:cs="Arial"/>
                <w:sz w:val="20"/>
                <w:szCs w:val="20"/>
              </w:rPr>
              <w:t xml:space="preserve"> </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Limbová 5</w:t>
            </w:r>
            <w:r w:rsidR="00577862" w:rsidRPr="001342B9">
              <w:rPr>
                <w:rFonts w:ascii="Arial" w:hAnsi="Arial" w:cs="Arial"/>
                <w:sz w:val="20"/>
                <w:szCs w:val="20"/>
              </w:rPr>
              <w:t xml:space="preserve">, </w:t>
            </w:r>
            <w:r w:rsidRPr="001342B9">
              <w:rPr>
                <w:rFonts w:ascii="Arial" w:hAnsi="Arial" w:cs="Arial"/>
                <w:sz w:val="20"/>
                <w:szCs w:val="20"/>
              </w:rPr>
              <w:t xml:space="preserve">833 05 Bratislava </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telefón: +421 2 54 774 166 </w:t>
            </w:r>
          </w:p>
          <w:p w:rsidR="00DB08E0"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mobil: +421 911 166 066, fax: +421 2 547 74 605 </w:t>
            </w:r>
          </w:p>
          <w:p w:rsidR="00DD79BD" w:rsidRPr="001342B9" w:rsidRDefault="00DB08E0" w:rsidP="00DB08E0">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e-mail: ntic@ntic.sk.</w:t>
            </w:r>
          </w:p>
        </w:tc>
      </w:tr>
    </w:tbl>
    <w:p w:rsidR="00DD79BD" w:rsidRPr="001342B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342B9" w:rsidTr="00DD79BD">
        <w:tc>
          <w:tcPr>
            <w:tcW w:w="9072" w:type="dxa"/>
            <w:shd w:val="clear" w:color="auto" w:fill="FFFF00"/>
          </w:tcPr>
          <w:p w:rsidR="00DD79BD" w:rsidRPr="001342B9" w:rsidRDefault="00DD79BD" w:rsidP="00DD79BD">
            <w:pPr>
              <w:autoSpaceDE w:val="0"/>
              <w:autoSpaceDN w:val="0"/>
              <w:adjustRightInd w:val="0"/>
              <w:spacing w:after="0" w:line="240" w:lineRule="auto"/>
              <w:ind w:left="150"/>
              <w:rPr>
                <w:rFonts w:ascii="Arial" w:hAnsi="Arial" w:cs="Arial"/>
                <w:sz w:val="20"/>
                <w:szCs w:val="20"/>
              </w:rPr>
            </w:pPr>
            <w:r w:rsidRPr="001342B9">
              <w:rPr>
                <w:rFonts w:ascii="Arial" w:hAnsi="Arial" w:cs="Arial"/>
                <w:b/>
                <w:bCs/>
                <w:sz w:val="20"/>
                <w:szCs w:val="20"/>
              </w:rPr>
              <w:t>ODDIEL 2: Identifikácia nebezpečnosti</w:t>
            </w:r>
          </w:p>
        </w:tc>
      </w:tr>
    </w:tbl>
    <w:p w:rsidR="00DD79BD" w:rsidRPr="001342B9"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342B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342B9" w:rsidRDefault="00DD79BD" w:rsidP="00DD79BD">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1342B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FD1B74">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Aerosól - Aerosól 1 - </w:t>
            </w:r>
            <w:proofErr w:type="spellStart"/>
            <w:r w:rsidRPr="001342B9">
              <w:rPr>
                <w:rFonts w:ascii="Arial" w:hAnsi="Arial" w:cs="Arial"/>
                <w:sz w:val="20"/>
                <w:szCs w:val="20"/>
              </w:rPr>
              <w:t>Aerosol</w:t>
            </w:r>
            <w:proofErr w:type="spellEnd"/>
            <w:r w:rsidRPr="001342B9">
              <w:rPr>
                <w:rFonts w:ascii="Arial" w:hAnsi="Arial" w:cs="Arial"/>
                <w:sz w:val="20"/>
                <w:szCs w:val="20"/>
              </w:rPr>
              <w:t xml:space="preserve"> 1, H222, H229</w:t>
            </w:r>
          </w:p>
          <w:p w:rsidR="001342B9" w:rsidRPr="001342B9" w:rsidRDefault="001342B9" w:rsidP="001342B9">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Aspiračná nebezpečnosť  - Asp. Tox. 1, H304</w:t>
            </w:r>
          </w:p>
          <w:p w:rsidR="001342B9" w:rsidRPr="001342B9" w:rsidRDefault="001342B9" w:rsidP="001342B9">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 Žieravosť/dráždivosť kože  - Skin Irrit. 2, H315 </w:t>
            </w:r>
          </w:p>
          <w:p w:rsidR="004C5630" w:rsidRPr="001342B9" w:rsidRDefault="00FD1B74" w:rsidP="00FD1B74">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Toxicita pre špecifický cieľový orgán-jednorazová expozícia - STOT SE 3, H336</w:t>
            </w:r>
          </w:p>
          <w:p w:rsidR="00352853" w:rsidRPr="001342B9" w:rsidRDefault="001342B9" w:rsidP="00352853">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Nebezpečnosť pre vodné prostredie  - Aquatic Chronic 2, H411</w:t>
            </w:r>
          </w:p>
          <w:p w:rsidR="001342B9" w:rsidRPr="001342B9" w:rsidRDefault="001342B9" w:rsidP="00352853">
            <w:pPr>
              <w:autoSpaceDE w:val="0"/>
              <w:autoSpaceDN w:val="0"/>
              <w:adjustRightInd w:val="0"/>
              <w:spacing w:after="0" w:line="240" w:lineRule="auto"/>
              <w:rPr>
                <w:rFonts w:ascii="Arial" w:hAnsi="Arial" w:cs="Arial"/>
                <w:sz w:val="20"/>
                <w:szCs w:val="20"/>
              </w:rPr>
            </w:pPr>
          </w:p>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b/>
                <w:sz w:val="20"/>
                <w:szCs w:val="20"/>
              </w:rPr>
              <w:t>Najzávažnejšie nepriaznivé fyzikálno-chemické účinky</w:t>
            </w:r>
            <w:r w:rsidRPr="001342B9">
              <w:rPr>
                <w:rFonts w:ascii="Arial" w:hAnsi="Arial" w:cs="Arial"/>
                <w:sz w:val="20"/>
                <w:szCs w:val="20"/>
              </w:rPr>
              <w:t xml:space="preserve"> Mimoriadne horľavý aerosól. Nádoba je pod tlakom: Pri zahriatí sa môže roztrhnúť. </w:t>
            </w:r>
          </w:p>
          <w:p w:rsidR="004C5630" w:rsidRPr="001342B9" w:rsidRDefault="004C5630" w:rsidP="00667996">
            <w:pPr>
              <w:autoSpaceDE w:val="0"/>
              <w:autoSpaceDN w:val="0"/>
              <w:adjustRightInd w:val="0"/>
              <w:spacing w:after="0" w:line="240" w:lineRule="auto"/>
              <w:rPr>
                <w:rFonts w:ascii="Arial" w:hAnsi="Arial" w:cs="Arial"/>
                <w:b/>
                <w:sz w:val="20"/>
                <w:szCs w:val="20"/>
              </w:rPr>
            </w:pPr>
            <w:r w:rsidRPr="001342B9">
              <w:rPr>
                <w:rFonts w:ascii="Arial" w:hAnsi="Arial" w:cs="Arial"/>
                <w:b/>
                <w:sz w:val="20"/>
                <w:szCs w:val="20"/>
              </w:rPr>
              <w:t xml:space="preserve">Najvýznamnejšie nepriaznivé účinky na ľudské zdravie a na životné prostredie </w:t>
            </w:r>
          </w:p>
          <w:p w:rsidR="00FA14BA" w:rsidRPr="001342B9" w:rsidRDefault="001342B9" w:rsidP="001342B9">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Dráždi kožu. Môže spôsobiť ospalosť alebo závraty. Môže byť smrteľný po požití a vniknutí do dýchacích ciest. Toxický pre vodné organizmy, s dlhodobými účinkami. </w:t>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spacing w:after="0"/>
              <w:rPr>
                <w:rFonts w:ascii="Arial" w:hAnsi="Arial" w:cs="Arial"/>
                <w:sz w:val="20"/>
                <w:szCs w:val="20"/>
              </w:rPr>
            </w:pPr>
          </w:p>
        </w:tc>
      </w:tr>
      <w:tr w:rsidR="004C5630" w:rsidRPr="001342B9"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1342B9">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1342B9" w:rsidRPr="001342B9">
              <w:rPr>
                <w:rFonts w:ascii="Arial" w:hAnsi="Arial" w:cs="Arial"/>
                <w:sz w:val="20"/>
                <w:szCs w:val="20"/>
              </w:rPr>
              <w:t xml:space="preserve"> </w:t>
            </w:r>
            <w:r w:rsidR="001342B9" w:rsidRPr="001342B9">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D20128"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Nebezpečenstvo</w:t>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H222 Mimoriadne horľavý aerosól. </w:t>
            </w:r>
          </w:p>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H229 Nádoba je pod tlakom: Pri zahriatí sa môže roztrhnúť. </w:t>
            </w:r>
          </w:p>
          <w:p w:rsidR="00FD1B74"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H315 Spôsobuje podráždenie kože</w:t>
            </w:r>
          </w:p>
          <w:p w:rsidR="004C5630"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H336 Môže spôsobiť ospalosť alebo závraty.</w:t>
            </w:r>
          </w:p>
          <w:p w:rsidR="001342B9"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H411 Toxický pre vodné organizmy, s dlhodobými účinkami.</w:t>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P102 Uchovávajte mimo dosahu detí. </w:t>
            </w:r>
          </w:p>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P210 Uchovávajte mimo dosahu tepla, horúcich povrchov, iskier, otvoreného ohňa a iných zdrojov zapálenia. Nefajčite. </w:t>
            </w:r>
          </w:p>
          <w:p w:rsidR="00FD1B74"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P211 Nestriekajte na otvorený oheň ani iný zdroj zapálenia. </w:t>
            </w:r>
          </w:p>
          <w:p w:rsidR="004C5630"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P251 Neprepichujte alebo nespaľujte ju, a to ani po spotrebovaní obsahu.</w:t>
            </w:r>
          </w:p>
        </w:tc>
      </w:tr>
      <w:tr w:rsidR="004C5630"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342B9" w:rsidRDefault="004C5630"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Bezpečnostné upozornenia </w:t>
            </w:r>
            <w:r w:rsidR="00FD1B74" w:rsidRPr="001342B9">
              <w:rPr>
                <w:rFonts w:ascii="Arial" w:hAnsi="Arial" w:cs="Arial"/>
                <w:sz w:val="20"/>
                <w:szCs w:val="20"/>
              </w:rPr>
              <w:t>–</w:t>
            </w:r>
            <w:r w:rsidRPr="001342B9">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342B9" w:rsidRPr="001342B9" w:rsidRDefault="001342B9"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P302+P352 PRI KONTAKTE S POKOŽKOU: Umyte veľkým množstvom vody. </w:t>
            </w:r>
          </w:p>
          <w:p w:rsidR="004C5630" w:rsidRPr="001342B9" w:rsidRDefault="00FD1B74" w:rsidP="00667996">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P304+P340 PO VDÝCHNUTÍ: Presuňte osobu na čerstvý vzduch a umožnite jej pohodlne dýchať. </w:t>
            </w:r>
          </w:p>
        </w:tc>
      </w:tr>
      <w:tr w:rsidR="00FD1B74"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FD1B74">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P410 + P412  Chráňte pred slnečným žiarením. Nevystavujte teplotám nad 50 ° C/122 ° F.</w:t>
            </w:r>
          </w:p>
        </w:tc>
      </w:tr>
      <w:tr w:rsidR="00FD1B74"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1342B9" w:rsidRDefault="00FD1B74" w:rsidP="00FD1B74">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P501 Zneškodnite obsah/nádobu podľa miestnych/regionálnych/štátnych/medzinárodných predpisov.</w:t>
            </w:r>
          </w:p>
        </w:tc>
      </w:tr>
    </w:tbl>
    <w:p w:rsidR="00D20128" w:rsidRPr="001342B9" w:rsidRDefault="00D20128" w:rsidP="00FA14BA">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1342B9"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1342B9" w:rsidRDefault="00D20128" w:rsidP="00667996">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B7EB8" w:rsidRDefault="001A196A" w:rsidP="001A196A">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xml:space="preserve">Obsahuje  </w:t>
            </w:r>
            <w:r w:rsidR="001342B9" w:rsidRPr="001342B9">
              <w:rPr>
                <w:rFonts w:ascii="Arial" w:hAnsi="Arial" w:cs="Arial"/>
                <w:sz w:val="20"/>
                <w:szCs w:val="20"/>
              </w:rPr>
              <w:t>uhľovodíky C7, n-</w:t>
            </w:r>
            <w:proofErr w:type="spellStart"/>
            <w:r w:rsidR="001342B9" w:rsidRPr="001342B9">
              <w:rPr>
                <w:rFonts w:ascii="Arial" w:hAnsi="Arial" w:cs="Arial"/>
                <w:sz w:val="20"/>
                <w:szCs w:val="20"/>
              </w:rPr>
              <w:t>alkány</w:t>
            </w:r>
            <w:proofErr w:type="spellEnd"/>
            <w:r w:rsidR="001342B9" w:rsidRPr="001342B9">
              <w:rPr>
                <w:rFonts w:ascii="Arial" w:hAnsi="Arial" w:cs="Arial"/>
                <w:sz w:val="20"/>
                <w:szCs w:val="20"/>
              </w:rPr>
              <w:t xml:space="preserve">, </w:t>
            </w:r>
            <w:proofErr w:type="spellStart"/>
            <w:r w:rsidR="001342B9" w:rsidRPr="001342B9">
              <w:rPr>
                <w:rFonts w:ascii="Arial" w:hAnsi="Arial" w:cs="Arial"/>
                <w:sz w:val="20"/>
                <w:szCs w:val="20"/>
              </w:rPr>
              <w:t>izoalkány</w:t>
            </w:r>
            <w:proofErr w:type="spellEnd"/>
            <w:r w:rsidR="001342B9" w:rsidRPr="001342B9">
              <w:rPr>
                <w:rFonts w:ascii="Arial" w:hAnsi="Arial" w:cs="Arial"/>
                <w:sz w:val="20"/>
                <w:szCs w:val="20"/>
              </w:rPr>
              <w:t xml:space="preserve">, cyklické, </w:t>
            </w:r>
          </w:p>
          <w:p w:rsidR="008B7EB8" w:rsidRDefault="008B7EB8" w:rsidP="001A196A">
            <w:pPr>
              <w:autoSpaceDE w:val="0"/>
              <w:autoSpaceDN w:val="0"/>
              <w:adjustRightInd w:val="0"/>
              <w:spacing w:after="0" w:line="240" w:lineRule="auto"/>
              <w:rPr>
                <w:rFonts w:ascii="Arial" w:hAnsi="Arial" w:cs="Arial"/>
                <w:sz w:val="20"/>
                <w:szCs w:val="20"/>
              </w:rPr>
            </w:pPr>
          </w:p>
          <w:p w:rsidR="00D20128" w:rsidRPr="001342B9" w:rsidRDefault="001342B9" w:rsidP="008B7EB8">
            <w:pPr>
              <w:autoSpaceDE w:val="0"/>
              <w:autoSpaceDN w:val="0"/>
              <w:adjustRightInd w:val="0"/>
              <w:spacing w:after="0" w:line="240" w:lineRule="auto"/>
              <w:rPr>
                <w:rFonts w:ascii="Arial" w:hAnsi="Arial" w:cs="Arial"/>
                <w:sz w:val="20"/>
                <w:szCs w:val="20"/>
              </w:rPr>
            </w:pPr>
            <w:r w:rsidRPr="001342B9">
              <w:rPr>
                <w:rFonts w:ascii="Arial" w:hAnsi="Arial" w:cs="Arial"/>
                <w:sz w:val="20"/>
                <w:szCs w:val="20"/>
              </w:rPr>
              <w:t>≥ 30% alifatických uhľovodíkov</w:t>
            </w:r>
            <w:r w:rsidR="008B7EB8">
              <w:rPr>
                <w:rFonts w:ascii="Arial" w:hAnsi="Arial" w:cs="Arial"/>
                <w:sz w:val="20"/>
                <w:szCs w:val="20"/>
              </w:rPr>
              <w:t xml:space="preserve">, </w:t>
            </w:r>
            <w:r w:rsidR="008B7EB8">
              <w:t>parfumy</w:t>
            </w:r>
          </w:p>
        </w:tc>
      </w:tr>
    </w:tbl>
    <w:p w:rsidR="004C5630" w:rsidRPr="002B3C0E"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2B3C0E"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Látka / zmes neobsahuje látky PBT / vPvB v súlade s nariadením (ES) č. 1907/2006, príloha XIII.</w:t>
            </w:r>
          </w:p>
          <w:p w:rsidR="004C5630" w:rsidRPr="002B3C0E" w:rsidRDefault="004C5630"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2"/>
        <w:gridCol w:w="11"/>
        <w:gridCol w:w="1589"/>
        <w:gridCol w:w="10"/>
        <w:gridCol w:w="1700"/>
        <w:gridCol w:w="1135"/>
        <w:gridCol w:w="1559"/>
        <w:gridCol w:w="1139"/>
      </w:tblGrid>
      <w:tr w:rsidR="004C5630" w:rsidRPr="00D856C7" w:rsidTr="00012FA9">
        <w:tc>
          <w:tcPr>
            <w:tcW w:w="9075" w:type="dxa"/>
            <w:gridSpan w:val="8"/>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12FA9">
        <w:tblPrEx>
          <w:tblBorders>
            <w:top w:val="none" w:sz="0" w:space="0" w:color="auto"/>
            <w:left w:val="none" w:sz="0" w:space="0" w:color="auto"/>
            <w:bottom w:val="none" w:sz="0" w:space="0" w:color="auto"/>
            <w:right w:val="none" w:sz="0" w:space="0" w:color="auto"/>
          </w:tblBorders>
        </w:tblPrEx>
        <w:tc>
          <w:tcPr>
            <w:tcW w:w="1943"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1342B9" w:rsidTr="00012FA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32" w:type="dxa"/>
            <w:tcBorders>
              <w:top w:val="single" w:sz="4" w:space="0" w:color="auto"/>
              <w:left w:val="single" w:sz="4" w:space="0" w:color="auto"/>
              <w:bottom w:val="single" w:sz="4" w:space="0" w:color="auto"/>
              <w:right w:val="single" w:sz="4" w:space="0" w:color="auto"/>
            </w:tcBorders>
            <w:hideMark/>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uhľovodíky C7, n-</w:t>
            </w:r>
            <w:proofErr w:type="spellStart"/>
            <w:r>
              <w:rPr>
                <w:rFonts w:ascii="Arial" w:hAnsi="Arial" w:cs="Arial"/>
                <w:sz w:val="17"/>
                <w:szCs w:val="17"/>
              </w:rPr>
              <w:t>alkány</w:t>
            </w:r>
            <w:proofErr w:type="spellEnd"/>
            <w:r>
              <w:rPr>
                <w:rFonts w:ascii="Arial" w:hAnsi="Arial" w:cs="Arial"/>
                <w:sz w:val="17"/>
                <w:szCs w:val="17"/>
              </w:rPr>
              <w:t xml:space="preserve">, </w:t>
            </w:r>
            <w:proofErr w:type="spellStart"/>
            <w:r>
              <w:rPr>
                <w:rFonts w:ascii="Arial" w:hAnsi="Arial" w:cs="Arial"/>
                <w:sz w:val="17"/>
                <w:szCs w:val="17"/>
              </w:rPr>
              <w:t>izoalkány</w:t>
            </w:r>
            <w:proofErr w:type="spellEnd"/>
            <w:r>
              <w:rPr>
                <w:rFonts w:ascii="Arial" w:hAnsi="Arial" w:cs="Arial"/>
                <w:sz w:val="17"/>
                <w:szCs w:val="17"/>
              </w:rPr>
              <w:t>, cyklické</w:t>
            </w:r>
          </w:p>
        </w:tc>
        <w:tc>
          <w:tcPr>
            <w:tcW w:w="1600" w:type="dxa"/>
            <w:gridSpan w:val="2"/>
            <w:tcBorders>
              <w:top w:val="single" w:sz="4" w:space="0" w:color="auto"/>
              <w:left w:val="single" w:sz="4" w:space="0" w:color="auto"/>
              <w:bottom w:val="single" w:sz="4" w:space="0" w:color="auto"/>
              <w:right w:val="single" w:sz="4" w:space="0" w:color="auto"/>
            </w:tcBorders>
            <w:hideMark/>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927-510-4</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01-2119475133-43</w:t>
            </w:r>
          </w:p>
        </w:tc>
        <w:tc>
          <w:tcPr>
            <w:tcW w:w="1710" w:type="dxa"/>
            <w:gridSpan w:val="2"/>
            <w:tcBorders>
              <w:top w:val="single" w:sz="4" w:space="0" w:color="auto"/>
              <w:left w:val="single" w:sz="4" w:space="0" w:color="auto"/>
              <w:bottom w:val="single" w:sz="4" w:space="0" w:color="auto"/>
              <w:right w:val="single" w:sz="4" w:space="0" w:color="auto"/>
            </w:tcBorders>
            <w:hideMark/>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Asp. Tox. 1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STOT SE 3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Aquatic Chronic 2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H304</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H411 </w:t>
            </w:r>
          </w:p>
          <w:p w:rsidR="001342B9" w:rsidRDefault="001342B9">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hideMark/>
          </w:tcPr>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GHS02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GHS08 </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1342B9" w:rsidRDefault="001342B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1342B9" w:rsidRDefault="001342B9"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(50 - 100) %</w:t>
            </w:r>
          </w:p>
        </w:tc>
      </w:tr>
      <w:tr w:rsidR="00012FA9" w:rsidRPr="00FA14BA" w:rsidTr="00012FA9">
        <w:tblPrEx>
          <w:tblBorders>
            <w:top w:val="none" w:sz="0" w:space="0" w:color="auto"/>
            <w:left w:val="none" w:sz="0" w:space="0" w:color="auto"/>
            <w:bottom w:val="none" w:sz="0" w:space="0" w:color="auto"/>
            <w:right w:val="none" w:sz="0" w:space="0" w:color="auto"/>
          </w:tblBorders>
        </w:tblPrEx>
        <w:tc>
          <w:tcPr>
            <w:tcW w:w="1943" w:type="dxa"/>
            <w:gridSpan w:val="2"/>
            <w:tcBorders>
              <w:top w:val="single" w:sz="4" w:space="0" w:color="auto"/>
              <w:left w:val="single" w:sz="4" w:space="0" w:color="auto"/>
              <w:bottom w:val="single" w:sz="4" w:space="0" w:color="auto"/>
              <w:right w:val="single" w:sz="4" w:space="0" w:color="auto"/>
            </w:tcBorders>
            <w:shd w:val="clear" w:color="auto" w:fill="auto"/>
          </w:tcPr>
          <w:p w:rsidR="00012FA9" w:rsidRDefault="00012FA9" w:rsidP="00245A13">
            <w:pPr>
              <w:autoSpaceDE w:val="0"/>
              <w:autoSpaceDN w:val="0"/>
              <w:adjustRightInd w:val="0"/>
              <w:spacing w:after="0" w:line="240" w:lineRule="auto"/>
              <w:rPr>
                <w:rFonts w:ascii="Arial" w:hAnsi="Arial" w:cs="Arial"/>
                <w:sz w:val="17"/>
                <w:szCs w:val="17"/>
              </w:rPr>
            </w:pPr>
            <w:r>
              <w:rPr>
                <w:rFonts w:ascii="Arial" w:hAnsi="Arial" w:cs="Arial"/>
                <w:sz w:val="17"/>
                <w:szCs w:val="17"/>
              </w:rPr>
              <w:t>Oxid uhličitý</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rsidR="00012FA9" w:rsidRPr="00A032BC" w:rsidRDefault="00012FA9" w:rsidP="00245A13">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 xml:space="preserve">124-38-9 </w:t>
            </w:r>
          </w:p>
          <w:p w:rsidR="00012FA9" w:rsidRPr="00A032BC" w:rsidRDefault="00012FA9" w:rsidP="00245A13">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204-696-9</w:t>
            </w:r>
          </w:p>
          <w:p w:rsidR="00012FA9" w:rsidRDefault="00012FA9" w:rsidP="00245A13">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12FA9" w:rsidRDefault="00012FA9" w:rsidP="00245A13">
            <w:pPr>
              <w:autoSpaceDE w:val="0"/>
              <w:autoSpaceDN w:val="0"/>
              <w:adjustRightInd w:val="0"/>
              <w:spacing w:after="0" w:line="240" w:lineRule="auto"/>
              <w:rPr>
                <w:rFonts w:ascii="Arial" w:hAnsi="Arial" w:cs="Arial"/>
                <w:sz w:val="17"/>
                <w:szCs w:val="17"/>
              </w:rPr>
            </w:pPr>
            <w:r>
              <w:rPr>
                <w:rFonts w:ascii="Arial" w:hAnsi="Arial" w:cs="Arial"/>
                <w:sz w:val="17"/>
                <w:szCs w:val="17"/>
              </w:rPr>
              <w:t>Nie je klasifikovaný</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12FA9" w:rsidRPr="00052D44" w:rsidRDefault="00012FA9" w:rsidP="00245A13">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FA9" w:rsidRPr="00052D44" w:rsidRDefault="00012FA9" w:rsidP="00245A13">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12FA9" w:rsidRPr="00FA14BA" w:rsidRDefault="00012FA9" w:rsidP="00245A13">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t>(2,5 - 10) %</w:t>
            </w:r>
          </w:p>
        </w:tc>
      </w:tr>
      <w:tr w:rsidR="001A196A" w:rsidRPr="00FA14BA" w:rsidTr="00012FA9">
        <w:tblPrEx>
          <w:tblBorders>
            <w:top w:val="none" w:sz="0" w:space="0" w:color="auto"/>
            <w:left w:val="none" w:sz="0" w:space="0" w:color="auto"/>
            <w:bottom w:val="none" w:sz="0" w:space="0" w:color="auto"/>
            <w:right w:val="none" w:sz="0" w:space="0" w:color="auto"/>
          </w:tblBorders>
        </w:tblPrEx>
        <w:tc>
          <w:tcPr>
            <w:tcW w:w="1943" w:type="dxa"/>
            <w:gridSpan w:val="2"/>
            <w:tcBorders>
              <w:top w:val="single" w:sz="4" w:space="0" w:color="auto"/>
              <w:left w:val="single" w:sz="4" w:space="0" w:color="auto"/>
              <w:bottom w:val="single" w:sz="4" w:space="0" w:color="auto"/>
              <w:right w:val="single" w:sz="4" w:space="0" w:color="auto"/>
            </w:tcBorders>
            <w:shd w:val="clear" w:color="auto" w:fill="auto"/>
          </w:tcPr>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1A196A" w:rsidRDefault="001A196A" w:rsidP="001342B9">
            <w:pPr>
              <w:autoSpaceDE w:val="0"/>
              <w:autoSpaceDN w:val="0"/>
              <w:adjustRightInd w:val="0"/>
              <w:spacing w:after="0" w:line="240" w:lineRule="auto"/>
              <w:rPr>
                <w:rFonts w:ascii="Arial" w:hAnsi="Arial" w:cs="Arial"/>
                <w:sz w:val="17"/>
                <w:szCs w:val="17"/>
              </w:rPr>
            </w:pPr>
          </w:p>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H220</w:t>
            </w:r>
          </w:p>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1A196A" w:rsidRPr="00846B73" w:rsidRDefault="001A196A" w:rsidP="001342B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A196A" w:rsidRDefault="00012FA9" w:rsidP="00012FA9">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&lt; </w:t>
            </w:r>
            <w:r w:rsidR="001A196A" w:rsidRPr="00FA14BA">
              <w:rPr>
                <w:rFonts w:ascii="Arial" w:hAnsi="Arial" w:cs="Arial"/>
                <w:sz w:val="17"/>
                <w:szCs w:val="17"/>
              </w:rPr>
              <w:t>2,5 %</w:t>
            </w:r>
          </w:p>
        </w:tc>
      </w:tr>
      <w:tr w:rsidR="0044767E" w:rsidRPr="00FA14BA" w:rsidTr="00012FA9">
        <w:tblPrEx>
          <w:tblBorders>
            <w:top w:val="none" w:sz="0" w:space="0" w:color="auto"/>
            <w:left w:val="none" w:sz="0" w:space="0" w:color="auto"/>
            <w:bottom w:val="none" w:sz="0" w:space="0" w:color="auto"/>
            <w:right w:val="none" w:sz="0" w:space="0" w:color="auto"/>
          </w:tblBorders>
        </w:tblPrEx>
        <w:tc>
          <w:tcPr>
            <w:tcW w:w="1943" w:type="dxa"/>
            <w:gridSpan w:val="2"/>
            <w:tcBorders>
              <w:top w:val="single" w:sz="4" w:space="0" w:color="auto"/>
              <w:left w:val="single" w:sz="4" w:space="0" w:color="auto"/>
              <w:bottom w:val="single" w:sz="4" w:space="0" w:color="auto"/>
              <w:right w:val="single" w:sz="4" w:space="0" w:color="auto"/>
            </w:tcBorders>
            <w:shd w:val="clear" w:color="auto" w:fill="auto"/>
          </w:tcPr>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Izobután</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4767E" w:rsidRDefault="00012FA9"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&lt; </w:t>
            </w:r>
            <w:r w:rsidRPr="00FA14BA">
              <w:rPr>
                <w:rFonts w:ascii="Arial" w:hAnsi="Arial" w:cs="Arial"/>
                <w:sz w:val="17"/>
                <w:szCs w:val="17"/>
              </w:rPr>
              <w:t>2,5 %</w:t>
            </w:r>
          </w:p>
        </w:tc>
      </w:tr>
      <w:tr w:rsidR="00A20B35" w:rsidRPr="00846B73" w:rsidTr="00012FA9">
        <w:tblPrEx>
          <w:tblBorders>
            <w:top w:val="none" w:sz="0" w:space="0" w:color="auto"/>
            <w:left w:val="none" w:sz="0" w:space="0" w:color="auto"/>
            <w:bottom w:val="none" w:sz="0" w:space="0" w:color="auto"/>
            <w:right w:val="none" w:sz="0" w:space="0" w:color="auto"/>
          </w:tblBorders>
        </w:tblPrEx>
        <w:tc>
          <w:tcPr>
            <w:tcW w:w="9075" w:type="dxa"/>
            <w:gridSpan w:val="8"/>
            <w:tcBorders>
              <w:top w:val="single" w:sz="4" w:space="0" w:color="auto"/>
              <w:left w:val="single" w:sz="4" w:space="0" w:color="auto"/>
              <w:bottom w:val="single" w:sz="4" w:space="0" w:color="auto"/>
              <w:right w:val="single" w:sz="4" w:space="0" w:color="auto"/>
            </w:tcBorders>
            <w:shd w:val="clear" w:color="auto" w:fill="auto"/>
          </w:tcPr>
          <w:p w:rsidR="00A20B35" w:rsidRDefault="00A20B35" w:rsidP="00A20B35">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Poznámka C: </w:t>
            </w:r>
          </w:p>
          <w:p w:rsidR="00A20B35" w:rsidRDefault="00A20B35" w:rsidP="00A20B35">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Niektoré organické látky sa môžu umiestňovať na trh buď v špecifickej izomérnej forme alebo ako zmes viacerých izomérov. V tomto prípade musí dodávateľ na etikete uviesť, či je látka konkrétnym i</w:t>
            </w:r>
            <w:r>
              <w:rPr>
                <w:rFonts w:ascii="Arial" w:hAnsi="Arial" w:cs="Arial"/>
                <w:sz w:val="20"/>
                <w:szCs w:val="20"/>
              </w:rPr>
              <w:t xml:space="preserve">zomérom alebo zmesou izomérov. </w:t>
            </w:r>
          </w:p>
          <w:p w:rsidR="00A20B35" w:rsidRDefault="00A20B35" w:rsidP="00A20B3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Poznámka U</w:t>
            </w:r>
          </w:p>
          <w:p w:rsidR="00A20B35" w:rsidRPr="00B44814" w:rsidRDefault="00A20B35" w:rsidP="00A20B3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Pr>
                <w:rFonts w:ascii="Arial" w:hAnsi="Arial" w:cs="Arial"/>
                <w:sz w:val="20"/>
                <w:szCs w:val="20"/>
              </w:rPr>
              <w:t>Comp</w:t>
            </w:r>
            <w:proofErr w:type="spellEnd"/>
            <w:r>
              <w:rPr>
                <w:rFonts w:ascii="Arial" w:hAnsi="Arial" w:cs="Arial"/>
                <w:sz w:val="20"/>
                <w:szCs w:val="20"/>
              </w:rPr>
              <w:t>.) Press. Gas (Liq.) Press. Gas (</w:t>
            </w:r>
            <w:proofErr w:type="spellStart"/>
            <w:r>
              <w:rPr>
                <w:rFonts w:ascii="Arial" w:hAnsi="Arial" w:cs="Arial"/>
                <w:sz w:val="20"/>
                <w:szCs w:val="20"/>
              </w:rPr>
              <w:t>Ref</w:t>
            </w:r>
            <w:proofErr w:type="spellEnd"/>
            <w:r>
              <w:rPr>
                <w:rFonts w:ascii="Arial" w:hAnsi="Arial" w:cs="Arial"/>
                <w:sz w:val="20"/>
                <w:szCs w:val="20"/>
              </w:rPr>
              <w:t>. Liq.) Press. Gas (</w:t>
            </w:r>
            <w:proofErr w:type="spellStart"/>
            <w:r>
              <w:rPr>
                <w:rFonts w:ascii="Arial" w:hAnsi="Arial" w:cs="Arial"/>
                <w:sz w:val="20"/>
                <w:szCs w:val="20"/>
              </w:rPr>
              <w:t>Diss</w:t>
            </w:r>
            <w:proofErr w:type="spellEnd"/>
            <w:r>
              <w:rPr>
                <w:rFonts w:ascii="Arial" w:hAnsi="Arial" w:cs="Arial"/>
                <w:sz w:val="20"/>
                <w:szCs w:val="20"/>
              </w:rPr>
              <w:t>.) Aerosóly sa neklasifikujú ako plyny pod tlakom (pozri prílohu I, časť 2, oddiel 2.3.2.1, poznámka 2).</w:t>
            </w:r>
          </w:p>
        </w:tc>
      </w:tr>
    </w:tbl>
    <w:p w:rsidR="00DD79BD" w:rsidRPr="006F445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9072" w:type="dxa"/>
            <w:gridSpan w:val="2"/>
            <w:shd w:val="clear" w:color="auto" w:fill="auto"/>
          </w:tcPr>
          <w:p w:rsidR="00DD79BD" w:rsidRPr="006F445E" w:rsidRDefault="00DD79BD" w:rsidP="000477F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Plné znenie H-výstražných upozornení je v oddiele 16. </w:t>
            </w:r>
          </w:p>
        </w:tc>
      </w:tr>
      <w:tr w:rsidR="00DD79BD"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20B35" w:rsidP="00A20B35">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oxid uhličitý</w:t>
            </w:r>
            <w:r w:rsidR="00B86951" w:rsidRPr="006F445E">
              <w:rPr>
                <w:rFonts w:ascii="Arial" w:hAnsi="Arial" w:cs="Arial"/>
                <w:sz w:val="20"/>
                <w:szCs w:val="20"/>
              </w:rPr>
              <w:t xml:space="preserve"> – pozri oddiel 8.</w:t>
            </w:r>
          </w:p>
        </w:tc>
      </w:tr>
      <w:tr w:rsidR="00DD79BD"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7E5E9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A450D3">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žiadna</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4: Opatrenia prvej pomoci</w:t>
            </w:r>
          </w:p>
        </w:tc>
      </w:tr>
    </w:tbl>
    <w:p w:rsidR="00DD79BD" w:rsidRPr="006F445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F445E" w:rsidTr="006F445E">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6F445E" w:rsidRDefault="00AA0CDD"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Ak sa prejavia zdravotné ťažkosti alebo v prípade pochybností, upovedomte lekára a poskytnite mu informácie z tejto karty bezpečnostných údajov.</w:t>
            </w:r>
          </w:p>
        </w:tc>
      </w:tr>
      <w:tr w:rsidR="00DD79BD"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C5630" w:rsidP="004C563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AA0CD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Zoblečte postriekaný odev. Umyte postihnuté miesto veľkým množstvom pokiaľ možno vlažnej vody. </w:t>
            </w:r>
          </w:p>
        </w:tc>
      </w:tr>
      <w:tr w:rsidR="00DD79BD"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Pokyny na prvú pomoc pri kontakte s</w:t>
            </w:r>
            <w:r w:rsidR="002133D0" w:rsidRPr="006F445E">
              <w:rPr>
                <w:rFonts w:ascii="Arial" w:hAnsi="Arial" w:cs="Arial"/>
                <w:sz w:val="20"/>
                <w:szCs w:val="20"/>
              </w:rPr>
              <w:t> </w:t>
            </w:r>
            <w:r w:rsidRPr="006F445E">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Nepravdepodobné</w:t>
            </w:r>
          </w:p>
        </w:tc>
      </w:tr>
      <w:tr w:rsidR="00DD79BD" w:rsidRPr="006F445E" w:rsidTr="006F445E">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2133D0">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4.2 Najdôležitejšie príznaky a účinky</w:t>
            </w:r>
          </w:p>
        </w:tc>
      </w:tr>
      <w:tr w:rsidR="000477F4"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133D0"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Pri vdýchnutí: </w:t>
            </w:r>
            <w:r w:rsidR="00AA0CDD" w:rsidRPr="006F445E">
              <w:rPr>
                <w:rFonts w:ascii="Arial" w:hAnsi="Arial" w:cs="Arial"/>
                <w:sz w:val="20"/>
                <w:szCs w:val="20"/>
              </w:rPr>
              <w:t>Môže spôsobiť ospalosť alebo závraty.</w:t>
            </w:r>
          </w:p>
          <w:p w:rsidR="002133D0"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Pri kontakte s pokožkou: </w:t>
            </w:r>
            <w:r w:rsidR="00B86951" w:rsidRPr="006F445E">
              <w:rPr>
                <w:rFonts w:ascii="Arial" w:hAnsi="Arial" w:cs="Arial"/>
                <w:sz w:val="20"/>
                <w:szCs w:val="20"/>
              </w:rPr>
              <w:t>Neočakávajú sa.</w:t>
            </w:r>
          </w:p>
          <w:p w:rsidR="00B86951"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Po zasiahnutí očí: </w:t>
            </w:r>
            <w:r w:rsidR="00AA0CDD" w:rsidRPr="006F445E">
              <w:rPr>
                <w:rFonts w:ascii="Arial" w:hAnsi="Arial" w:cs="Arial"/>
                <w:sz w:val="20"/>
                <w:szCs w:val="20"/>
              </w:rPr>
              <w:t>Spôsobuje vážne podráždenie očí.</w:t>
            </w:r>
          </w:p>
          <w:p w:rsidR="000477F4"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Po požití: </w:t>
            </w:r>
            <w:r w:rsidR="004C5630" w:rsidRPr="006F445E">
              <w:rPr>
                <w:rFonts w:ascii="Arial" w:hAnsi="Arial" w:cs="Arial"/>
                <w:sz w:val="20"/>
                <w:szCs w:val="20"/>
              </w:rPr>
              <w:t>Podráždenie, nevoľnosť.</w:t>
            </w:r>
          </w:p>
        </w:tc>
      </w:tr>
      <w:tr w:rsidR="000477F4" w:rsidRPr="006F445E" w:rsidTr="006F445E">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6F445E" w:rsidRDefault="000477F4" w:rsidP="002133D0">
            <w:pPr>
              <w:autoSpaceDE w:val="0"/>
              <w:autoSpaceDN w:val="0"/>
              <w:adjustRightInd w:val="0"/>
              <w:spacing w:after="0" w:line="240" w:lineRule="auto"/>
              <w:ind w:left="90"/>
              <w:rPr>
                <w:rFonts w:ascii="Arial" w:hAnsi="Arial" w:cs="Arial"/>
                <w:sz w:val="20"/>
                <w:szCs w:val="20"/>
              </w:rPr>
            </w:pPr>
          </w:p>
        </w:tc>
      </w:tr>
      <w:tr w:rsidR="00DD79BD" w:rsidRPr="006F445E" w:rsidTr="006F445E">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Liečba symptomatická.</w:t>
            </w:r>
          </w:p>
          <w:p w:rsidR="00DD79BD" w:rsidRPr="006F445E" w:rsidRDefault="00DD79BD" w:rsidP="002133D0">
            <w:pPr>
              <w:autoSpaceDE w:val="0"/>
              <w:autoSpaceDN w:val="0"/>
              <w:adjustRightInd w:val="0"/>
              <w:spacing w:after="0" w:line="240" w:lineRule="auto"/>
              <w:rPr>
                <w:rFonts w:ascii="Arial" w:hAnsi="Arial" w:cs="Arial"/>
                <w:sz w:val="20"/>
                <w:szCs w:val="20"/>
              </w:rPr>
            </w:pPr>
          </w:p>
        </w:tc>
      </w:tr>
      <w:tr w:rsidR="00DD79BD" w:rsidRPr="006F445E" w:rsidTr="006F445E">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neuvádzajú sa</w:t>
            </w:r>
          </w:p>
          <w:p w:rsidR="000772E8" w:rsidRPr="006F445E" w:rsidRDefault="000772E8" w:rsidP="002133D0">
            <w:pPr>
              <w:autoSpaceDE w:val="0"/>
              <w:autoSpaceDN w:val="0"/>
              <w:adjustRightInd w:val="0"/>
              <w:spacing w:after="0" w:line="240" w:lineRule="auto"/>
              <w:rPr>
                <w:rFonts w:ascii="Arial" w:hAnsi="Arial" w:cs="Arial"/>
                <w:sz w:val="20"/>
                <w:szCs w:val="20"/>
              </w:rPr>
            </w:pPr>
          </w:p>
          <w:p w:rsidR="000772E8" w:rsidRPr="006F445E" w:rsidRDefault="000772E8" w:rsidP="002133D0">
            <w:pPr>
              <w:autoSpaceDE w:val="0"/>
              <w:autoSpaceDN w:val="0"/>
              <w:adjustRightInd w:val="0"/>
              <w:spacing w:after="0" w:line="240" w:lineRule="auto"/>
              <w:rPr>
                <w:rFonts w:ascii="Arial" w:hAnsi="Arial" w:cs="Arial"/>
                <w:sz w:val="20"/>
                <w:szCs w:val="20"/>
              </w:rPr>
            </w:pPr>
          </w:p>
        </w:tc>
      </w:tr>
    </w:tbl>
    <w:p w:rsidR="006F445E" w:rsidRDefault="006F445E" w:rsidP="006F445E">
      <w:pPr>
        <w:autoSpaceDE w:val="0"/>
        <w:autoSpaceDN w:val="0"/>
        <w:adjustRightInd w:val="0"/>
        <w:spacing w:after="0" w:line="240" w:lineRule="auto"/>
        <w:ind w:left="90"/>
        <w:rPr>
          <w:rFonts w:ascii="Arial" w:hAnsi="Arial" w:cs="Arial"/>
          <w:sz w:val="20"/>
          <w:szCs w:val="20"/>
        </w:rPr>
      </w:pPr>
    </w:p>
    <w:p w:rsidR="008B7EB8" w:rsidRPr="006F445E" w:rsidRDefault="008B7EB8" w:rsidP="006F445E">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6F445E" w:rsidTr="006F445E">
        <w:tc>
          <w:tcPr>
            <w:tcW w:w="9077" w:type="dxa"/>
            <w:shd w:val="clear" w:color="auto" w:fill="FFFF00"/>
          </w:tcPr>
          <w:p w:rsidR="00DD79BD" w:rsidRPr="006F445E" w:rsidRDefault="00DD79BD" w:rsidP="00AF72A9">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lastRenderedPageBreak/>
              <w:t>ODDIEL 5: Protipožiarne opatrenia</w:t>
            </w:r>
          </w:p>
        </w:tc>
      </w:tr>
    </w:tbl>
    <w:p w:rsidR="00DD79BD" w:rsidRPr="006F445E"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6F445E"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C563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Pena odolná alkoholu, oxid uhličitý, prášok, voda - striekajúci prúd, vodná hmla.</w:t>
            </w:r>
          </w:p>
        </w:tc>
      </w:tr>
      <w:tr w:rsidR="00DD79BD" w:rsidRPr="006F445E"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C563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Voda - plný prúd.</w:t>
            </w:r>
          </w:p>
        </w:tc>
      </w:tr>
      <w:tr w:rsidR="00DD79BD" w:rsidRPr="006F445E"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Pri požiari môže dochádzať k vzniku oxidu uhoľnatého a uhličitého a ďalších toxických plynov. Vdychovanie nebezpečných rozkladných (</w:t>
            </w:r>
            <w:proofErr w:type="spellStart"/>
            <w:r w:rsidRPr="006F445E">
              <w:rPr>
                <w:rFonts w:ascii="Arial" w:hAnsi="Arial" w:cs="Arial"/>
                <w:sz w:val="20"/>
                <w:szCs w:val="20"/>
              </w:rPr>
              <w:t>pyrolýznych</w:t>
            </w:r>
            <w:proofErr w:type="spellEnd"/>
            <w:r w:rsidRPr="006F445E">
              <w:rPr>
                <w:rFonts w:ascii="Arial" w:hAnsi="Arial" w:cs="Arial"/>
                <w:sz w:val="20"/>
                <w:szCs w:val="20"/>
              </w:rPr>
              <w:t xml:space="preserve">) produktov môže spôsobiť vážne poškodenie zdravia. </w:t>
            </w:r>
          </w:p>
        </w:tc>
      </w:tr>
      <w:tr w:rsidR="00DD79BD" w:rsidRPr="006F445E"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310718" w:rsidP="0031071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6F445E">
              <w:rPr>
                <w:rFonts w:ascii="Arial" w:hAnsi="Arial" w:cs="Arial"/>
                <w:sz w:val="20"/>
                <w:szCs w:val="20"/>
              </w:rPr>
              <w:t>hasivo</w:t>
            </w:r>
            <w:proofErr w:type="spellEnd"/>
            <w:r w:rsidRPr="006F445E">
              <w:rPr>
                <w:rFonts w:ascii="Arial" w:hAnsi="Arial" w:cs="Arial"/>
                <w:sz w:val="20"/>
                <w:szCs w:val="20"/>
              </w:rPr>
              <w:t xml:space="preserve"> nenechajte uniknúť do kanalizácie, povrchových a podzemných vôd.</w:t>
            </w:r>
          </w:p>
        </w:tc>
      </w:tr>
      <w:tr w:rsidR="00DD79BD" w:rsidRPr="006F445E"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neuvádza sa</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6: Opatrenia pri náhodnom uvoľnení</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AA0CDD" w:rsidP="00763E56">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133D0"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Zabráňte kontaminácii pôdy a úniku do povrchových alebo podzemných vôd.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763E56"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133D0"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7, </w:t>
            </w:r>
            <w:r w:rsidR="00DD79BD" w:rsidRPr="006F445E">
              <w:rPr>
                <w:rFonts w:ascii="Arial" w:hAnsi="Arial" w:cs="Arial"/>
                <w:sz w:val="20"/>
                <w:szCs w:val="20"/>
              </w:rPr>
              <w:t>8, 13</w:t>
            </w:r>
          </w:p>
        </w:tc>
      </w:tr>
    </w:tbl>
    <w:p w:rsidR="00060AD8" w:rsidRPr="006F445E"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7: Zaobchádzanie a skladovanie</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B3C0E"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Z</w:t>
            </w:r>
            <w:r w:rsidR="00AA0CDD" w:rsidRPr="006F445E">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6F445E" w:rsidRDefault="00AA0CDD"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6F445E" w:rsidRDefault="00AA0CDD"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Skladovacia trieda 2B - Nádoby so stlačeným plynom (aerosóly)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neuvádzajú sa</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8: Kontroly expozície/osobná ochrana</w:t>
            </w:r>
          </w:p>
        </w:tc>
      </w:tr>
    </w:tbl>
    <w:p w:rsidR="00DD79BD" w:rsidRPr="006F445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F445E"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2133D0"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NPEL:</w:t>
            </w:r>
          </w:p>
          <w:p w:rsidR="00B86951" w:rsidRPr="006F445E" w:rsidRDefault="00A20B35" w:rsidP="00B86951">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227. Oxid uhličitý CAS: 124-38-9: </w:t>
            </w:r>
            <w:proofErr w:type="spellStart"/>
            <w:r w:rsidRPr="006F445E">
              <w:rPr>
                <w:rFonts w:ascii="Arial" w:hAnsi="Arial" w:cs="Arial"/>
                <w:sz w:val="20"/>
                <w:szCs w:val="20"/>
              </w:rPr>
              <w:t>preimerný</w:t>
            </w:r>
            <w:proofErr w:type="spellEnd"/>
            <w:r w:rsidRPr="006F445E">
              <w:rPr>
                <w:rFonts w:ascii="Arial" w:hAnsi="Arial" w:cs="Arial"/>
                <w:sz w:val="20"/>
                <w:szCs w:val="20"/>
              </w:rPr>
              <w:t>: 5000 ppm, 9000 mg/m3</w:t>
            </w:r>
          </w:p>
          <w:p w:rsidR="00A20B35" w:rsidRPr="006F445E" w:rsidRDefault="00A20B35" w:rsidP="00B86951">
            <w:pPr>
              <w:autoSpaceDE w:val="0"/>
              <w:autoSpaceDN w:val="0"/>
              <w:adjustRightInd w:val="0"/>
              <w:spacing w:after="0" w:line="240" w:lineRule="auto"/>
              <w:rPr>
                <w:rFonts w:ascii="Arial" w:hAnsi="Arial" w:cs="Arial"/>
                <w:sz w:val="20"/>
                <w:szCs w:val="20"/>
              </w:rPr>
            </w:pPr>
          </w:p>
          <w:p w:rsidR="00113F81" w:rsidRPr="006F445E" w:rsidRDefault="00113F81" w:rsidP="00113F81">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BMH</w:t>
            </w:r>
          </w:p>
          <w:p w:rsidR="00113F81" w:rsidRPr="006F445E" w:rsidRDefault="002E33BF" w:rsidP="002E33BF">
            <w:pPr>
              <w:autoSpaceDE w:val="0"/>
              <w:autoSpaceDN w:val="0"/>
              <w:adjustRightInd w:val="0"/>
              <w:spacing w:after="0" w:line="240" w:lineRule="auto"/>
              <w:ind w:left="-11"/>
              <w:rPr>
                <w:rFonts w:ascii="Arial" w:hAnsi="Arial" w:cs="Arial"/>
                <w:sz w:val="20"/>
                <w:szCs w:val="20"/>
              </w:rPr>
            </w:pPr>
            <w:r w:rsidRPr="006F445E">
              <w:rPr>
                <w:rFonts w:ascii="Arial" w:hAnsi="Arial" w:cs="Arial"/>
                <w:sz w:val="20"/>
                <w:szCs w:val="20"/>
              </w:rPr>
              <w:t>1</w:t>
            </w:r>
            <w:r w:rsidR="001A3846" w:rsidRPr="006F445E">
              <w:rPr>
                <w:rFonts w:ascii="Arial" w:hAnsi="Arial" w:cs="Arial"/>
                <w:sz w:val="20"/>
                <w:szCs w:val="20"/>
              </w:rPr>
              <w:t xml:space="preserve">. </w:t>
            </w:r>
            <w:r w:rsidR="00113F81" w:rsidRPr="006F445E">
              <w:rPr>
                <w:rFonts w:ascii="Arial" w:hAnsi="Arial" w:cs="Arial"/>
                <w:sz w:val="20"/>
                <w:szCs w:val="20"/>
              </w:rPr>
              <w:t xml:space="preserve">Faktor v pracovnom ovzduší Acetón  (67-64-1); Zisťovaný faktor  acetón Prípustná hodnota BMH 80 mg.l-1; </w:t>
            </w:r>
          </w:p>
          <w:p w:rsidR="00DD79BD" w:rsidRPr="006F445E" w:rsidRDefault="00113F81"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1378 μmol.l-1; 53,36 mg.g-1 </w:t>
            </w:r>
            <w:proofErr w:type="spellStart"/>
            <w:r w:rsidRPr="006F445E">
              <w:rPr>
                <w:rFonts w:ascii="Arial" w:hAnsi="Arial" w:cs="Arial"/>
                <w:sz w:val="20"/>
                <w:szCs w:val="20"/>
              </w:rPr>
              <w:t>kreat</w:t>
            </w:r>
            <w:proofErr w:type="spellEnd"/>
            <w:r w:rsidRPr="006F445E">
              <w:rPr>
                <w:rFonts w:ascii="Arial" w:hAnsi="Arial" w:cs="Arial"/>
                <w:sz w:val="20"/>
                <w:szCs w:val="20"/>
              </w:rPr>
              <w:t xml:space="preserve">. 103,9 μmol.mmol-1 </w:t>
            </w:r>
            <w:proofErr w:type="spellStart"/>
            <w:r w:rsidRPr="006F445E">
              <w:rPr>
                <w:rFonts w:ascii="Arial" w:hAnsi="Arial" w:cs="Arial"/>
                <w:sz w:val="20"/>
                <w:szCs w:val="20"/>
              </w:rPr>
              <w:t>kreat</w:t>
            </w:r>
            <w:proofErr w:type="spellEnd"/>
            <w:r w:rsidRPr="006F445E">
              <w:rPr>
                <w:rFonts w:ascii="Arial" w:hAnsi="Arial" w:cs="Arial"/>
                <w:sz w:val="20"/>
                <w:szCs w:val="20"/>
              </w:rPr>
              <w:t>.; Vyšetrovaný ma</w:t>
            </w:r>
            <w:r w:rsidR="00A20B35" w:rsidRPr="006F445E">
              <w:rPr>
                <w:rFonts w:ascii="Arial" w:hAnsi="Arial" w:cs="Arial"/>
                <w:sz w:val="20"/>
                <w:szCs w:val="20"/>
              </w:rPr>
              <w:t xml:space="preserve">teriál M  Čas odberu vzorky b  </w:t>
            </w:r>
          </w:p>
        </w:tc>
      </w:tr>
      <w:tr w:rsidR="00DD79BD" w:rsidRPr="006F445E"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763E56" w:rsidP="002133D0">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6F445E"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B7EB8"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Ochrana dýchacích orgánov: </w:t>
            </w:r>
            <w:r w:rsidR="008B7EB8">
              <w:t>Respirátor</w:t>
            </w:r>
            <w:r w:rsidR="008B7EB8" w:rsidRPr="006F445E">
              <w:rPr>
                <w:rFonts w:ascii="Arial" w:hAnsi="Arial" w:cs="Arial"/>
                <w:sz w:val="20"/>
                <w:szCs w:val="20"/>
              </w:rPr>
              <w:t xml:space="preserve"> </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Ochrana očí: </w:t>
            </w:r>
            <w:r w:rsidR="00AA0CDD" w:rsidRPr="006F445E">
              <w:rPr>
                <w:rFonts w:ascii="Arial" w:hAnsi="Arial" w:cs="Arial"/>
                <w:sz w:val="20"/>
                <w:szCs w:val="20"/>
              </w:rPr>
              <w:t>Ochranné okuliare.</w:t>
            </w:r>
          </w:p>
          <w:p w:rsidR="00763E56"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Ochrana rúk:</w:t>
            </w:r>
            <w:r w:rsidR="00763E56" w:rsidRPr="006F445E">
              <w:rPr>
                <w:rFonts w:ascii="Arial" w:hAnsi="Arial" w:cs="Arial"/>
                <w:sz w:val="20"/>
                <w:szCs w:val="20"/>
              </w:rPr>
              <w:t xml:space="preserve"> </w:t>
            </w:r>
            <w:r w:rsidR="008B7EB8">
              <w:t xml:space="preserve">Ochranné rukavice odolné výrobku. Dbajte na odporúčania konkrétneho výrobcu rukavíc pri výbere vhodnej hrúbky, materiálu a priepustnosti. Dbajte na ďalšie odporúčania výrobcu. </w:t>
            </w:r>
          </w:p>
          <w:p w:rsidR="00763E56"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Ochrana tela: </w:t>
            </w:r>
            <w:r w:rsidR="00763E56" w:rsidRPr="006F445E">
              <w:rPr>
                <w:rFonts w:ascii="Arial" w:hAnsi="Arial" w:cs="Arial"/>
                <w:sz w:val="20"/>
                <w:szCs w:val="20"/>
              </w:rPr>
              <w:t xml:space="preserve">Ochranný pracovný odev. Znečistenú pokožku dôkladne umyte. </w:t>
            </w:r>
          </w:p>
          <w:p w:rsidR="002133D0" w:rsidRPr="006F445E" w:rsidRDefault="002133D0"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Tepelná nebezpečnosť Neuvedené.</w:t>
            </w:r>
          </w:p>
        </w:tc>
      </w:tr>
      <w:tr w:rsidR="00DD79BD" w:rsidRPr="006F445E"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CE0639"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Dbajte na obvyklé opatrenia na ochranu životného prostredia, viď bod 6.2. Zabráňte vniknutiu do pôdy, povrchovej vody alebo kanalizácie</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9: Fyzikálne a chemické vlastnosti</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453EDA">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Metóda</w:t>
            </w:r>
          </w:p>
        </w:tc>
      </w:tr>
      <w:tr w:rsidR="000477F4"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Aerosól</w:t>
            </w:r>
          </w:p>
          <w:p w:rsidR="000477F4" w:rsidRPr="006F445E" w:rsidRDefault="00763E56"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spacing w:after="0"/>
              <w:rPr>
                <w:rFonts w:ascii="Arial" w:hAnsi="Arial" w:cs="Arial"/>
                <w:sz w:val="20"/>
                <w:szCs w:val="20"/>
              </w:rPr>
            </w:pPr>
          </w:p>
        </w:tc>
      </w:tr>
      <w:tr w:rsidR="000477F4"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12FA9"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spacing w:after="0"/>
              <w:rPr>
                <w:rFonts w:ascii="Arial" w:hAnsi="Arial" w:cs="Arial"/>
                <w:sz w:val="20"/>
                <w:szCs w:val="20"/>
              </w:rPr>
            </w:pPr>
          </w:p>
        </w:tc>
      </w:tr>
      <w:tr w:rsidR="000477F4"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577862"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F427CC"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012FA9"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342B9"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lastRenderedPageBreak/>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A20B35" w:rsidP="00012FA9">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 / </w:t>
            </w:r>
            <w:r w:rsidR="00012FA9">
              <w:rPr>
                <w:rFonts w:ascii="Arial" w:hAnsi="Arial" w:cs="Arial"/>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763E56"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12FA9"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roofErr w:type="spellStart"/>
            <w:r w:rsidRPr="006F445E">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060AD8"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spacing w:after="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577862" w:rsidP="00656C5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656C5E" w:rsidP="00656C5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871D3" w:rsidP="001342B9">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0,</w:t>
            </w:r>
            <w:r w:rsidR="00A20B35" w:rsidRPr="006F445E">
              <w:rPr>
                <w:rFonts w:ascii="Arial" w:hAnsi="Arial" w:cs="Arial"/>
                <w:sz w:val="20"/>
                <w:szCs w:val="20"/>
              </w:rPr>
              <w:t>7</w:t>
            </w:r>
            <w:r w:rsidR="001342B9" w:rsidRPr="006F445E">
              <w:rPr>
                <w:rFonts w:ascii="Arial" w:hAnsi="Arial" w:cs="Arial"/>
                <w:sz w:val="20"/>
                <w:szCs w:val="20"/>
              </w:rPr>
              <w:t>04</w:t>
            </w:r>
            <w:r w:rsidRPr="006F445E">
              <w:rPr>
                <w:rFonts w:ascii="Arial" w:hAnsi="Arial" w:cs="Arial"/>
                <w:sz w:val="20"/>
                <w:szCs w:val="20"/>
              </w:rPr>
              <w:t xml:space="preserve"> pri 20</w:t>
            </w:r>
            <w:r w:rsidR="00060AD8" w:rsidRPr="006F445E">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CE063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453EDA" w:rsidRPr="006F445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p>
        </w:tc>
      </w:tr>
      <w:tr w:rsidR="000477F4"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F445E" w:rsidRDefault="000477F4" w:rsidP="000477F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6F445E" w:rsidRPr="006F445E" w:rsidRDefault="001342B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teplota vznietenia 235 °C </w:t>
            </w:r>
          </w:p>
          <w:p w:rsidR="000477F4" w:rsidRPr="006F445E" w:rsidRDefault="001342B9"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Max. obsah VOC vo výrobku v s</w:t>
            </w:r>
            <w:r w:rsidR="00012FA9">
              <w:rPr>
                <w:rFonts w:ascii="Arial" w:hAnsi="Arial" w:cs="Arial"/>
                <w:sz w:val="20"/>
                <w:szCs w:val="20"/>
              </w:rPr>
              <w:t>tave pripravenom na použitie 686</w:t>
            </w:r>
            <w:r w:rsidRPr="006F445E">
              <w:rPr>
                <w:rFonts w:ascii="Arial" w:hAnsi="Arial" w:cs="Arial"/>
                <w:sz w:val="20"/>
                <w:szCs w:val="20"/>
              </w:rPr>
              <w:t xml:space="preserve"> g/l</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10: Stabilita a reaktivita</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Neuvádza sa</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Za bežných podmienok je zmes stabilná.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w:t>
            </w:r>
            <w:r w:rsidR="00DD79BD" w:rsidRPr="006F445E">
              <w:rPr>
                <w:rFonts w:ascii="Arial" w:hAnsi="Arial" w:cs="Arial"/>
                <w:sz w:val="20"/>
                <w:szCs w:val="20"/>
              </w:rPr>
              <w:t>ie</w:t>
            </w:r>
            <w:r w:rsidRPr="006F445E">
              <w:rPr>
                <w:rFonts w:ascii="Arial" w:hAnsi="Arial" w:cs="Arial"/>
                <w:sz w:val="20"/>
                <w:szCs w:val="20"/>
              </w:rPr>
              <w:t xml:space="preserve"> </w:t>
            </w:r>
            <w:r w:rsidR="00DD79BD" w:rsidRPr="006F445E">
              <w:rPr>
                <w:rFonts w:ascii="Arial" w:hAnsi="Arial" w:cs="Arial"/>
                <w:sz w:val="20"/>
                <w:szCs w:val="20"/>
              </w:rPr>
              <w:t>sú známe</w:t>
            </w:r>
            <w:r w:rsidRPr="006F445E">
              <w:rPr>
                <w:rFonts w:ascii="Arial" w:hAnsi="Arial" w:cs="Arial"/>
                <w:sz w:val="20"/>
                <w:szCs w:val="20"/>
              </w:rPr>
              <w:t xml:space="preserve">.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763E56" w:rsidP="00656C5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Pri normálnom spôsobe použitia je produkt stabilný, k rozkladu nedochádza. Chráňte pred plameňmi, iskr</w:t>
            </w:r>
            <w:r w:rsidR="00656C5E" w:rsidRPr="006F445E">
              <w:rPr>
                <w:rFonts w:ascii="Arial" w:hAnsi="Arial" w:cs="Arial"/>
                <w:sz w:val="20"/>
                <w:szCs w:val="20"/>
              </w:rPr>
              <w:t xml:space="preserve">ami, prehriatím a pred mrazom. </w:t>
            </w:r>
            <w:r w:rsidR="006F445E" w:rsidRPr="006F445E">
              <w:rPr>
                <w:rFonts w:ascii="Arial" w:hAnsi="Arial" w:cs="Arial"/>
                <w:sz w:val="20"/>
                <w:szCs w:val="20"/>
              </w:rPr>
              <w:t>Nádoba je pod tlakom: Pri zahriatí sa môže roztrhnúť.</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Chráňte pred silnými kyselinami, zásadami a oxidačnými činidlami. </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Pri normálnom spôsobe použitia nevznikajú. Pri vysokých teplotách a pri požiari vznikajú nebezpečné produkty, ako napr. oxid uhoľnatý a oxid uhličitý.</w:t>
            </w:r>
          </w:p>
        </w:tc>
      </w:tr>
    </w:tbl>
    <w:p w:rsidR="00060AD8" w:rsidRPr="006F445E"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11: Toxikologické informácie</w:t>
            </w:r>
          </w:p>
        </w:tc>
      </w:tr>
    </w:tbl>
    <w:p w:rsidR="00DD79BD" w:rsidRPr="006F445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9072" w:type="dxa"/>
            <w:gridSpan w:val="2"/>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11.1. </w:t>
            </w:r>
            <w:r w:rsidR="00F537CC" w:rsidRPr="006F445E">
              <w:rPr>
                <w:rFonts w:ascii="Arial" w:hAnsi="Arial" w:cs="Arial"/>
                <w:sz w:val="20"/>
                <w:szCs w:val="20"/>
              </w:rPr>
              <w:t>Informácie o triedach nebezpečnosti vymedzených v nariadení (ES) č. 1272/2008</w:t>
            </w:r>
          </w:p>
        </w:tc>
      </w:tr>
      <w:tr w:rsidR="00DD79BD"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9E2B14" w:rsidP="00A20B35">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Pre zmes nie sú žiadne toxikologické údaje k dispozícii.</w:t>
            </w:r>
          </w:p>
        </w:tc>
      </w:tr>
      <w:tr w:rsidR="00060AD8"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6F445E"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Dráždi kožu.</w:t>
            </w:r>
          </w:p>
        </w:tc>
      </w:tr>
      <w:tr w:rsidR="00060AD8"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Spôsobuje vážne podráždenie očí.</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060AD8" w:rsidP="00656C5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Pri vdýchnutí môže vyvolať alergiu alebo príznaky astmy, alebo dýchacie ťažkosti.</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Na základe dostupných údajov nie sú kritéria pre klasifikáciu splnené. </w:t>
            </w:r>
          </w:p>
        </w:tc>
      </w:tr>
      <w:tr w:rsidR="004068A8"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F445E" w:rsidRDefault="004068A8" w:rsidP="004068A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F445E" w:rsidRDefault="004068A8" w:rsidP="004068A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Na základe dostupných údajov nie sú kritéria pre klasifikáciu splnené. </w:t>
            </w:r>
            <w:bookmarkStart w:id="0" w:name="_GoBack"/>
            <w:bookmarkEnd w:id="0"/>
          </w:p>
        </w:tc>
      </w:tr>
      <w:tr w:rsidR="004068A8"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F445E" w:rsidRDefault="004068A8" w:rsidP="004068A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F445E" w:rsidRDefault="004068A8" w:rsidP="004068A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Na základe dostupných údajov nie sú kritéria pre klasifikáciu splnené. </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871D3"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Môže spôsobiť ospalosť alebo závraty.</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656C5E"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Na základe dostupných údajov nie sú kritéria pre klasifikáciu splnené.</w:t>
            </w:r>
          </w:p>
        </w:tc>
      </w:tr>
      <w:tr w:rsidR="00453EDA" w:rsidRPr="006F445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1871D3"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6F445E"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6F445E" w:rsidRDefault="00F537CC" w:rsidP="00C7544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11.2. Informácie o inej nebezpečnosti: neuvádza sa</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12: Ekologické informácie</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F445E" w:rsidRPr="006F445E" w:rsidRDefault="006F445E" w:rsidP="00A20B35">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Akútna toxicita:</w:t>
            </w:r>
          </w:p>
          <w:p w:rsidR="00060AD8" w:rsidRPr="006F445E" w:rsidRDefault="006F445E" w:rsidP="00A20B35">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 Toxický pre vodné organizmy, s dlhodobými účinkami.</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12.2. Perzistencia a</w:t>
            </w:r>
            <w:r w:rsidR="004068A8" w:rsidRPr="006F445E">
              <w:rPr>
                <w:rFonts w:ascii="Arial" w:hAnsi="Arial" w:cs="Arial"/>
                <w:sz w:val="20"/>
                <w:szCs w:val="20"/>
              </w:rPr>
              <w:t> </w:t>
            </w:r>
            <w:r w:rsidRPr="006F445E">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068A8"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Údaj nie je k dispozícii.</w:t>
            </w:r>
          </w:p>
        </w:tc>
      </w:tr>
      <w:tr w:rsidR="00453EDA"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068A8"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Neuvedené.</w:t>
            </w:r>
          </w:p>
        </w:tc>
      </w:tr>
      <w:tr w:rsidR="00453EDA"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Neuvedené.</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12.5. Výsledky posúdenia PBT a</w:t>
            </w:r>
            <w:r w:rsidR="00453EDA" w:rsidRPr="006F445E">
              <w:rPr>
                <w:rFonts w:ascii="Arial" w:hAnsi="Arial" w:cs="Arial"/>
                <w:sz w:val="20"/>
                <w:szCs w:val="20"/>
              </w:rPr>
              <w:t> </w:t>
            </w:r>
            <w:r w:rsidRPr="006F445E">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6F445E"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453EDA" w:rsidP="00453ED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Neuvedené.</w:t>
            </w:r>
          </w:p>
        </w:tc>
      </w:tr>
    </w:tbl>
    <w:p w:rsidR="000772E8" w:rsidRPr="006F445E" w:rsidRDefault="000772E8"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FA14BA">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13: Opatrenia pri zneškodňovaní</w:t>
            </w:r>
          </w:p>
        </w:tc>
      </w:tr>
    </w:tbl>
    <w:p w:rsidR="00DD79BD" w:rsidRPr="006F445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1286E" w:rsidP="00DD79BD">
            <w:pPr>
              <w:spacing w:after="0"/>
              <w:rPr>
                <w:rFonts w:ascii="Arial" w:hAnsi="Arial" w:cs="Arial"/>
                <w:sz w:val="20"/>
                <w:szCs w:val="20"/>
              </w:rPr>
            </w:pPr>
            <w:r w:rsidRPr="006F445E">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6F445E" w:rsidRDefault="00D1286E" w:rsidP="00D1286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6F445E" w:rsidRDefault="00D1286E" w:rsidP="00D1286E">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Kód druhu odpadu: </w:t>
            </w:r>
          </w:p>
          <w:p w:rsidR="001871D3" w:rsidRPr="006F445E" w:rsidRDefault="001871D3" w:rsidP="009E2B1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16 05 04 plyny v tlakových nádobách vrátane </w:t>
            </w:r>
            <w:proofErr w:type="spellStart"/>
            <w:r w:rsidRPr="006F445E">
              <w:rPr>
                <w:rFonts w:ascii="Arial" w:hAnsi="Arial" w:cs="Arial"/>
                <w:sz w:val="20"/>
                <w:szCs w:val="20"/>
              </w:rPr>
              <w:t>halónov</w:t>
            </w:r>
            <w:proofErr w:type="spellEnd"/>
            <w:r w:rsidRPr="006F445E">
              <w:rPr>
                <w:rFonts w:ascii="Arial" w:hAnsi="Arial" w:cs="Arial"/>
                <w:sz w:val="20"/>
                <w:szCs w:val="20"/>
              </w:rPr>
              <w:t xml:space="preserve"> obsahujúcich nebezpečné látky  </w:t>
            </w:r>
          </w:p>
          <w:p w:rsidR="001871D3" w:rsidRPr="006F445E" w:rsidRDefault="001871D3" w:rsidP="009E2B1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Kód druhu odpadu pre obal </w:t>
            </w:r>
          </w:p>
          <w:p w:rsidR="00DD79BD" w:rsidRPr="006F445E" w:rsidRDefault="001871D3" w:rsidP="009E2B14">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15 01 10 obaly obsahujúce zvyšky nebezpečných látok alebo kontaminované nebezpečnými látkami</w:t>
            </w:r>
          </w:p>
        </w:tc>
      </w:tr>
    </w:tbl>
    <w:p w:rsidR="00DD79BD" w:rsidRPr="006F445E" w:rsidRDefault="00DD79BD" w:rsidP="00DD79BD">
      <w:pPr>
        <w:spacing w:after="0"/>
        <w:rPr>
          <w:rFonts w:ascii="Arial" w:hAnsi="Arial" w:cs="Arial"/>
          <w:sz w:val="20"/>
          <w:szCs w:val="20"/>
        </w:rPr>
      </w:pPr>
    </w:p>
    <w:p w:rsidR="00065573" w:rsidRPr="006F445E" w:rsidRDefault="00065573"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6F445E">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14: Informácie o doprave</w:t>
            </w:r>
          </w:p>
        </w:tc>
      </w:tr>
    </w:tbl>
    <w:p w:rsidR="00DD79BD" w:rsidRPr="006F445E"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jc w:val="center"/>
              <w:rPr>
                <w:rFonts w:ascii="Arial" w:hAnsi="Arial" w:cs="Arial"/>
                <w:sz w:val="20"/>
                <w:szCs w:val="20"/>
              </w:rPr>
            </w:pPr>
            <w:r w:rsidRPr="006F445E">
              <w:rPr>
                <w:rFonts w:ascii="Arial" w:hAnsi="Arial" w:cs="Arial"/>
                <w:sz w:val="20"/>
                <w:szCs w:val="20"/>
              </w:rPr>
              <w:t>ICAO</w:t>
            </w:r>
          </w:p>
        </w:tc>
      </w:tr>
      <w:tr w:rsidR="001871D3" w:rsidRPr="008B7EB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1950</w:t>
            </w:r>
          </w:p>
        </w:tc>
      </w:tr>
      <w:tr w:rsidR="00060AD8" w:rsidRPr="008B7EB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r>
      <w:tr w:rsidR="00060AD8" w:rsidRPr="008B7EB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lastRenderedPageBreak/>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r>
      <w:tr w:rsidR="001871D3" w:rsidRPr="008B7EB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r>
      <w:tr w:rsidR="001871D3" w:rsidRPr="008B7EB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1871D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r>
      <w:tr w:rsidR="00060AD8" w:rsidRPr="008B7EB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r>
      <w:tr w:rsidR="00060AD8" w:rsidRPr="008B7EB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060AD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F445E" w:rsidRDefault="00060AD8"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w:t>
            </w:r>
          </w:p>
        </w:tc>
      </w:tr>
      <w:tr w:rsidR="001871D3" w:rsidRPr="008B7EB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Identifikačné číslo nebezpečnosti (</w:t>
            </w:r>
            <w:proofErr w:type="spellStart"/>
            <w:r w:rsidRPr="006F445E">
              <w:rPr>
                <w:rFonts w:ascii="Arial" w:hAnsi="Arial" w:cs="Arial"/>
                <w:sz w:val="20"/>
                <w:szCs w:val="20"/>
              </w:rPr>
              <w:t>Kemlerov</w:t>
            </w:r>
            <w:proofErr w:type="spellEnd"/>
            <w:r w:rsidRPr="006F445E">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F445E" w:rsidRDefault="001871D3" w:rsidP="008B7EB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Baliace inštrukcie pasažier 203 Baliace inštrukcie </w:t>
            </w:r>
            <w:proofErr w:type="spellStart"/>
            <w:r w:rsidRPr="006F445E">
              <w:rPr>
                <w:rFonts w:ascii="Arial" w:hAnsi="Arial" w:cs="Arial"/>
                <w:sz w:val="20"/>
                <w:szCs w:val="20"/>
              </w:rPr>
              <w:t>kargo</w:t>
            </w:r>
            <w:proofErr w:type="spellEnd"/>
            <w:r w:rsidRPr="006F445E">
              <w:rPr>
                <w:rFonts w:ascii="Arial" w:hAnsi="Arial" w:cs="Arial"/>
                <w:sz w:val="20"/>
                <w:szCs w:val="20"/>
              </w:rPr>
              <w:t xml:space="preserve"> 203</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15: Regulačné informácie</w:t>
            </w:r>
          </w:p>
        </w:tc>
      </w:tr>
    </w:tbl>
    <w:p w:rsidR="00DD79BD" w:rsidRPr="006F445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Pri vypracovávaní karty bezpečnostných údajov boli použité nasledovné zákony, nariadenia a vyhlášky:</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Zákon č. 79/2015 Z. z. o odpadoch</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Medzinárodná cestná doprava nebezpečného tovaru ADR</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Medzinárodná železničná doprava nebezpečného tovaru RID</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Medzinárodná námorná doprava nebezpečného tovaru IMDG</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Medzinárodná letecká doprava nebezpečného tovaru ICAO/IATA</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Vyhláška MV SR č. 96/2004 Z. z. o protipožiarnej bezpečnosti</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Európskeho parlamentu a Rady (ES) č.  648/2004 o detergentoch</w:t>
            </w:r>
          </w:p>
          <w:p w:rsidR="00DD79BD" w:rsidRPr="006F445E" w:rsidRDefault="00DD79BD"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Nariadenie vlády SR č, 46/2009 Z. z., ktorým sa ustanovujú požiadavky na aerosólové rozprašovače</w:t>
            </w:r>
          </w:p>
        </w:tc>
      </w:tr>
      <w:tr w:rsidR="00DD79BD" w:rsidRPr="006F445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DD79BD" w:rsidP="00DD79BD">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F445E" w:rsidRDefault="000477F4" w:rsidP="00DD79BD">
            <w:pPr>
              <w:spacing w:after="0"/>
              <w:rPr>
                <w:rFonts w:ascii="Arial" w:hAnsi="Arial" w:cs="Arial"/>
                <w:sz w:val="20"/>
                <w:szCs w:val="20"/>
              </w:rPr>
            </w:pPr>
            <w:r w:rsidRPr="006F445E">
              <w:rPr>
                <w:rFonts w:ascii="Arial" w:hAnsi="Arial" w:cs="Arial"/>
                <w:sz w:val="20"/>
                <w:szCs w:val="20"/>
              </w:rPr>
              <w:t>Nebolo vykonané</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FFFF00"/>
          </w:tcPr>
          <w:p w:rsidR="00DD79BD" w:rsidRPr="006F445E" w:rsidRDefault="00DD79BD" w:rsidP="00DD79BD">
            <w:pPr>
              <w:autoSpaceDE w:val="0"/>
              <w:autoSpaceDN w:val="0"/>
              <w:adjustRightInd w:val="0"/>
              <w:spacing w:after="0" w:line="240" w:lineRule="auto"/>
              <w:ind w:left="150"/>
              <w:rPr>
                <w:rFonts w:ascii="Arial" w:hAnsi="Arial" w:cs="Arial"/>
                <w:sz w:val="20"/>
                <w:szCs w:val="20"/>
              </w:rPr>
            </w:pPr>
            <w:r w:rsidRPr="006F445E">
              <w:rPr>
                <w:rFonts w:ascii="Arial" w:hAnsi="Arial" w:cs="Arial"/>
                <w:b/>
                <w:bCs/>
                <w:sz w:val="20"/>
                <w:szCs w:val="20"/>
              </w:rPr>
              <w:t>ODDIEL 16: Iné informácie</w:t>
            </w:r>
          </w:p>
        </w:tc>
      </w:tr>
    </w:tbl>
    <w:p w:rsidR="00DD79BD" w:rsidRPr="006F445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6F445E" w:rsidTr="00DD79BD">
        <w:tc>
          <w:tcPr>
            <w:tcW w:w="9072" w:type="dxa"/>
            <w:shd w:val="clear" w:color="auto" w:fill="auto"/>
          </w:tcPr>
          <w:p w:rsidR="008E4DD7" w:rsidRPr="006F445E" w:rsidRDefault="008E4DD7" w:rsidP="008E4DD7">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Údaje o revízii</w:t>
            </w:r>
          </w:p>
          <w:p w:rsidR="008E4DD7" w:rsidRPr="006F445E" w:rsidRDefault="008E4DD7" w:rsidP="008E4DD7">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I: Prispôsobenie sa novej legislatíve: odd. 1, 3, 9, 11, 16</w:t>
            </w:r>
          </w:p>
          <w:p w:rsidR="008E4DD7" w:rsidRPr="006F445E" w:rsidRDefault="008E4DD7" w:rsidP="00DD79BD">
            <w:pPr>
              <w:autoSpaceDE w:val="0"/>
              <w:autoSpaceDN w:val="0"/>
              <w:adjustRightInd w:val="0"/>
              <w:spacing w:after="0" w:line="240" w:lineRule="auto"/>
              <w:rPr>
                <w:rFonts w:ascii="Arial" w:hAnsi="Arial" w:cs="Arial"/>
                <w:sz w:val="20"/>
                <w:szCs w:val="20"/>
              </w:rPr>
            </w:pP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Legenda k skratkám a akronymom použitým v karte bezpečnostných údajov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ADR Európska dohoda o medzinárodnej cestnej preprave nebezpečných vecí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BCF </w:t>
            </w:r>
            <w:proofErr w:type="spellStart"/>
            <w:r w:rsidRPr="006F445E">
              <w:rPr>
                <w:rFonts w:ascii="Arial" w:hAnsi="Arial" w:cs="Arial"/>
                <w:sz w:val="20"/>
                <w:szCs w:val="20"/>
              </w:rPr>
              <w:t>Biokoncentračný</w:t>
            </w:r>
            <w:proofErr w:type="spellEnd"/>
            <w:r w:rsidRPr="006F445E">
              <w:rPr>
                <w:rFonts w:ascii="Arial" w:hAnsi="Arial" w:cs="Arial"/>
                <w:sz w:val="20"/>
                <w:szCs w:val="20"/>
              </w:rPr>
              <w:t xml:space="preserve"> faktor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CAS </w:t>
            </w:r>
            <w:proofErr w:type="spellStart"/>
            <w:r w:rsidRPr="006F445E">
              <w:rPr>
                <w:rFonts w:ascii="Arial" w:hAnsi="Arial" w:cs="Arial"/>
                <w:sz w:val="20"/>
                <w:szCs w:val="20"/>
              </w:rPr>
              <w:t>Chemical</w:t>
            </w:r>
            <w:proofErr w:type="spellEnd"/>
            <w:r w:rsidRPr="006F445E">
              <w:rPr>
                <w:rFonts w:ascii="Arial" w:hAnsi="Arial" w:cs="Arial"/>
                <w:sz w:val="20"/>
                <w:szCs w:val="20"/>
              </w:rPr>
              <w:t xml:space="preserve"> </w:t>
            </w:r>
            <w:proofErr w:type="spellStart"/>
            <w:r w:rsidRPr="006F445E">
              <w:rPr>
                <w:rFonts w:ascii="Arial" w:hAnsi="Arial" w:cs="Arial"/>
                <w:sz w:val="20"/>
                <w:szCs w:val="20"/>
              </w:rPr>
              <w:t>Abstracts</w:t>
            </w:r>
            <w:proofErr w:type="spellEnd"/>
            <w:r w:rsidRPr="006F445E">
              <w:rPr>
                <w:rFonts w:ascii="Arial" w:hAnsi="Arial" w:cs="Arial"/>
                <w:sz w:val="20"/>
                <w:szCs w:val="20"/>
              </w:rPr>
              <w:t xml:space="preserve"> Service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CLP Nariadenie (ES) č. 1272/2008 o klasifikácii, označovaní a balení látok a zmesí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DNEL Odvodené hladiny, pri ktorých nedochádza k žiadnym účinkom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EC</w:t>
            </w:r>
            <w:r w:rsidRPr="006F445E">
              <w:rPr>
                <w:rFonts w:ascii="Cambria Math" w:hAnsi="Cambria Math" w:cs="Cambria Math"/>
                <w:sz w:val="20"/>
                <w:szCs w:val="20"/>
              </w:rPr>
              <w:t>₅₀</w:t>
            </w:r>
            <w:r w:rsidRPr="006F445E">
              <w:rPr>
                <w:rFonts w:ascii="Arial" w:hAnsi="Arial" w:cs="Arial"/>
                <w:sz w:val="20"/>
                <w:szCs w:val="20"/>
              </w:rPr>
              <w:t xml:space="preserve"> Koncentrácia látky pri ktorej je zasiahnutých 50% populácie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EINECS Európsky zoznam existujúcich obchodovaných chemických látok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EmS Pohotovostný plán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ES Číslo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ES je číselný identifikátor lát</w:t>
            </w:r>
            <w:r w:rsidR="00020E46" w:rsidRPr="006F445E">
              <w:rPr>
                <w:rFonts w:ascii="Arial" w:hAnsi="Arial" w:cs="Arial"/>
                <w:sz w:val="20"/>
                <w:szCs w:val="20"/>
              </w:rPr>
              <w:t>o</w:t>
            </w:r>
            <w:r w:rsidRPr="006F445E">
              <w:rPr>
                <w:rFonts w:ascii="Arial" w:hAnsi="Arial" w:cs="Arial"/>
                <w:sz w:val="20"/>
                <w:szCs w:val="20"/>
              </w:rPr>
              <w:t>k na z</w:t>
            </w:r>
            <w:r w:rsidR="00020E46" w:rsidRPr="006F445E">
              <w:rPr>
                <w:rFonts w:ascii="Arial" w:hAnsi="Arial" w:cs="Arial"/>
                <w:sz w:val="20"/>
                <w:szCs w:val="20"/>
              </w:rPr>
              <w:t>ozname</w:t>
            </w:r>
            <w:r w:rsidRPr="006F445E">
              <w:rPr>
                <w:rFonts w:ascii="Arial" w:hAnsi="Arial" w:cs="Arial"/>
                <w:sz w:val="20"/>
                <w:szCs w:val="20"/>
              </w:rPr>
              <w:t xml:space="preserve"> ES EÚ Európska únia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IATA Medzinárodná asociácia leteckých dopravcov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IBC Medzinárodný predpis pre stavbu a vybavenie lodí hromadne prepravujúce nebezpečné chemikálie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IC</w:t>
            </w:r>
            <w:r w:rsidRPr="006F445E">
              <w:rPr>
                <w:rFonts w:ascii="Cambria Math" w:hAnsi="Cambria Math" w:cs="Cambria Math"/>
                <w:sz w:val="20"/>
                <w:szCs w:val="20"/>
              </w:rPr>
              <w:t>₅₀</w:t>
            </w:r>
            <w:r w:rsidRPr="006F445E">
              <w:rPr>
                <w:rFonts w:ascii="Arial" w:hAnsi="Arial" w:cs="Arial"/>
                <w:sz w:val="20"/>
                <w:szCs w:val="20"/>
              </w:rPr>
              <w:t xml:space="preserve"> Koncentrácia pôsobiaca 50% blokádu</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ICAO Medzinárodná organizácia pre civilné letectvo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IMDG Medzinárodná námorná preprava nebezpečného tovaru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INCI Medzinárodné názvoslovie kozmetických zložiek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ISO Medzinárodná organizácia pre normalizáciu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IUPAC Medzinárodná únia pre čistú a aplikovanú chémiu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LC</w:t>
            </w:r>
            <w:r w:rsidRPr="006F445E">
              <w:rPr>
                <w:rFonts w:ascii="Cambria Math" w:hAnsi="Cambria Math" w:cs="Cambria Math"/>
                <w:sz w:val="20"/>
                <w:szCs w:val="20"/>
              </w:rPr>
              <w:t>₅₀</w:t>
            </w:r>
            <w:r w:rsidRPr="006F445E">
              <w:rPr>
                <w:rFonts w:ascii="Arial" w:hAnsi="Arial" w:cs="Arial"/>
                <w:sz w:val="20"/>
                <w:szCs w:val="20"/>
              </w:rPr>
              <w:t xml:space="preserve"> Smrteľná koncentrácia látky, pri ktorej možno očakávať, že spôsobí smrť 50% populácie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LD</w:t>
            </w:r>
            <w:r w:rsidRPr="006F445E">
              <w:rPr>
                <w:rFonts w:ascii="Cambria Math" w:hAnsi="Cambria Math" w:cs="Cambria Math"/>
                <w:sz w:val="20"/>
                <w:szCs w:val="20"/>
              </w:rPr>
              <w:t>₅₀</w:t>
            </w:r>
            <w:r w:rsidRPr="006F445E">
              <w:rPr>
                <w:rFonts w:ascii="Arial" w:hAnsi="Arial" w:cs="Arial"/>
                <w:sz w:val="20"/>
                <w:szCs w:val="20"/>
              </w:rPr>
              <w:t xml:space="preserve"> Smrteľná dávka látky, pri ktorej možno očakávať, že spôsobí smrť 50% populácie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LOAEC Najnižšia koncentrácia s pozorovaným nepriaznivým účinkom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LOAEL Najnižšia hladina, pri ktorej dochádza k nepriaznivým účinkom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log </w:t>
            </w:r>
            <w:proofErr w:type="spellStart"/>
            <w:r w:rsidRPr="006F445E">
              <w:rPr>
                <w:rFonts w:ascii="Arial" w:hAnsi="Arial" w:cs="Arial"/>
                <w:sz w:val="20"/>
                <w:szCs w:val="20"/>
              </w:rPr>
              <w:t>Kow</w:t>
            </w:r>
            <w:proofErr w:type="spellEnd"/>
            <w:r w:rsidRPr="006F445E">
              <w:rPr>
                <w:rFonts w:ascii="Arial" w:hAnsi="Arial" w:cs="Arial"/>
                <w:sz w:val="20"/>
                <w:szCs w:val="20"/>
              </w:rPr>
              <w:t xml:space="preserve"> Oktanol-voda rozdeľovací koeficient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MARPOL Medzinárodný dohovor o zabránení znečisťovania z lodí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NOAEC Koncentrácia bez pozorovaného nepriaznivého účinku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NOAEL Hladina bez pozorovaného nepriaznivého účinku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NOEC Koncentrácia bez pozorovaného účinku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NOEL Hladina bez pozorovaného účinku </w:t>
            </w:r>
          </w:p>
          <w:p w:rsidR="00DD79BD"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NPEL Najvyšší prípustný expozičný limit</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OEL Expozičné limity na pracovisku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PBT </w:t>
            </w:r>
            <w:proofErr w:type="spellStart"/>
            <w:r w:rsidRPr="006F445E">
              <w:rPr>
                <w:rFonts w:ascii="Arial" w:hAnsi="Arial" w:cs="Arial"/>
                <w:sz w:val="20"/>
                <w:szCs w:val="20"/>
              </w:rPr>
              <w:t>Perzistentný</w:t>
            </w:r>
            <w:proofErr w:type="spellEnd"/>
            <w:r w:rsidRPr="006F445E">
              <w:rPr>
                <w:rFonts w:ascii="Arial" w:hAnsi="Arial" w:cs="Arial"/>
                <w:sz w:val="20"/>
                <w:szCs w:val="20"/>
              </w:rPr>
              <w:t xml:space="preserve">, </w:t>
            </w:r>
            <w:proofErr w:type="spellStart"/>
            <w:r w:rsidRPr="006F445E">
              <w:rPr>
                <w:rFonts w:ascii="Arial" w:hAnsi="Arial" w:cs="Arial"/>
                <w:sz w:val="20"/>
                <w:szCs w:val="20"/>
              </w:rPr>
              <w:t>bioakumulatívny</w:t>
            </w:r>
            <w:proofErr w:type="spellEnd"/>
            <w:r w:rsidRPr="006F445E">
              <w:rPr>
                <w:rFonts w:ascii="Arial" w:hAnsi="Arial" w:cs="Arial"/>
                <w:sz w:val="20"/>
                <w:szCs w:val="20"/>
              </w:rPr>
              <w:t xml:space="preserve"> a toxický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PNEC Predpokladaná koncentrácia, pri ktorej nedochádza k žiadnym účinkom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ppm Počet častíc na milión (milióntina)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REACH Registrácia, hodnotenie, autorizácia a obmedzovanie chemických látok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RID Dohoda o preprave nebezpečného tovaru po železnici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UN Štvormiestne identifikačné číslo látky alebo predmetu prebrané zo Vzorov predpisov OSN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UVCB Látka neznámeho alebo variabilného zloženia, komplexné reakčné produkt alebo biologický materiál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VOC Prchavé organické zlúčeniny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vPvB Veľmi </w:t>
            </w:r>
            <w:proofErr w:type="spellStart"/>
            <w:r w:rsidRPr="006F445E">
              <w:rPr>
                <w:rFonts w:ascii="Arial" w:hAnsi="Arial" w:cs="Arial"/>
                <w:sz w:val="20"/>
                <w:szCs w:val="20"/>
              </w:rPr>
              <w:t>perzistentný</w:t>
            </w:r>
            <w:proofErr w:type="spellEnd"/>
            <w:r w:rsidRPr="006F445E">
              <w:rPr>
                <w:rFonts w:ascii="Arial" w:hAnsi="Arial" w:cs="Arial"/>
                <w:sz w:val="20"/>
                <w:szCs w:val="20"/>
              </w:rPr>
              <w:t xml:space="preserve"> a veľmi </w:t>
            </w:r>
            <w:proofErr w:type="spellStart"/>
            <w:r w:rsidRPr="006F445E">
              <w:rPr>
                <w:rFonts w:ascii="Arial" w:hAnsi="Arial" w:cs="Arial"/>
                <w:sz w:val="20"/>
                <w:szCs w:val="20"/>
              </w:rPr>
              <w:t>bioakumulatívny</w:t>
            </w:r>
            <w:proofErr w:type="spellEnd"/>
            <w:r w:rsidRPr="006F445E">
              <w:rPr>
                <w:rFonts w:ascii="Arial" w:hAnsi="Arial" w:cs="Arial"/>
                <w:sz w:val="20"/>
                <w:szCs w:val="20"/>
              </w:rPr>
              <w:t xml:space="preserve"> </w:t>
            </w:r>
          </w:p>
          <w:p w:rsidR="00D1286E" w:rsidRPr="006F445E" w:rsidRDefault="00D1286E" w:rsidP="00DD79BD">
            <w:pPr>
              <w:autoSpaceDE w:val="0"/>
              <w:autoSpaceDN w:val="0"/>
              <w:adjustRightInd w:val="0"/>
              <w:spacing w:after="0" w:line="240" w:lineRule="auto"/>
              <w:rPr>
                <w:rFonts w:ascii="Arial" w:hAnsi="Arial" w:cs="Arial"/>
                <w:sz w:val="20"/>
                <w:szCs w:val="20"/>
              </w:rPr>
            </w:pP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E05DF0"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lastRenderedPageBreak/>
              <w:t xml:space="preserve">Odporúčané obmedzenie použitia neuvedené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Informácie o zdrojoch údajov použitých pri zostavovaní karty bezpečnostných údajov</w:t>
            </w:r>
            <w:r w:rsidR="00E05DF0" w:rsidRPr="006F445E">
              <w:rPr>
                <w:rFonts w:ascii="Arial" w:hAnsi="Arial" w:cs="Arial"/>
                <w:sz w:val="20"/>
                <w:szCs w:val="20"/>
              </w:rPr>
              <w:t>:</w:t>
            </w:r>
            <w:r w:rsidRPr="006F445E">
              <w:rPr>
                <w:rFonts w:ascii="Arial" w:hAnsi="Arial" w:cs="Arial"/>
                <w:sz w:val="20"/>
                <w:szCs w:val="20"/>
              </w:rPr>
              <w:t xml:space="preserv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Zásady pro </w:t>
            </w:r>
            <w:proofErr w:type="spellStart"/>
            <w:r w:rsidRPr="006F445E">
              <w:rPr>
                <w:rFonts w:ascii="Arial" w:hAnsi="Arial" w:cs="Arial"/>
                <w:sz w:val="20"/>
                <w:szCs w:val="20"/>
              </w:rPr>
              <w:t>poskytování</w:t>
            </w:r>
            <w:proofErr w:type="spellEnd"/>
            <w:r w:rsidRPr="006F445E">
              <w:rPr>
                <w:rFonts w:ascii="Arial" w:hAnsi="Arial" w:cs="Arial"/>
                <w:sz w:val="20"/>
                <w:szCs w:val="20"/>
              </w:rPr>
              <w:t xml:space="preserve"> </w:t>
            </w:r>
            <w:proofErr w:type="spellStart"/>
            <w:r w:rsidRPr="006F445E">
              <w:rPr>
                <w:rFonts w:ascii="Arial" w:hAnsi="Arial" w:cs="Arial"/>
                <w:sz w:val="20"/>
                <w:szCs w:val="20"/>
              </w:rPr>
              <w:t>první</w:t>
            </w:r>
            <w:proofErr w:type="spellEnd"/>
            <w:r w:rsidRPr="006F445E">
              <w:rPr>
                <w:rFonts w:ascii="Arial" w:hAnsi="Arial" w:cs="Arial"/>
                <w:sz w:val="20"/>
                <w:szCs w:val="20"/>
              </w:rPr>
              <w:t xml:space="preserve"> pomoci </w:t>
            </w:r>
            <w:proofErr w:type="spellStart"/>
            <w:r w:rsidRPr="006F445E">
              <w:rPr>
                <w:rFonts w:ascii="Arial" w:hAnsi="Arial" w:cs="Arial"/>
                <w:sz w:val="20"/>
                <w:szCs w:val="20"/>
              </w:rPr>
              <w:t>při</w:t>
            </w:r>
            <w:proofErr w:type="spellEnd"/>
            <w:r w:rsidRPr="006F445E">
              <w:rPr>
                <w:rFonts w:ascii="Arial" w:hAnsi="Arial" w:cs="Arial"/>
                <w:sz w:val="20"/>
                <w:szCs w:val="20"/>
              </w:rPr>
              <w:t xml:space="preserve"> </w:t>
            </w:r>
            <w:proofErr w:type="spellStart"/>
            <w:r w:rsidRPr="006F445E">
              <w:rPr>
                <w:rFonts w:ascii="Arial" w:hAnsi="Arial" w:cs="Arial"/>
                <w:sz w:val="20"/>
                <w:szCs w:val="20"/>
              </w:rPr>
              <w:t>expozici</w:t>
            </w:r>
            <w:proofErr w:type="spellEnd"/>
            <w:r w:rsidRPr="006F445E">
              <w:rPr>
                <w:rFonts w:ascii="Arial" w:hAnsi="Arial" w:cs="Arial"/>
                <w:sz w:val="20"/>
                <w:szCs w:val="20"/>
              </w:rPr>
              <w:t xml:space="preserve"> chemickým </w:t>
            </w:r>
            <w:proofErr w:type="spellStart"/>
            <w:r w:rsidRPr="006F445E">
              <w:rPr>
                <w:rFonts w:ascii="Arial" w:hAnsi="Arial" w:cs="Arial"/>
                <w:sz w:val="20"/>
                <w:szCs w:val="20"/>
              </w:rPr>
              <w:t>látkám</w:t>
            </w:r>
            <w:proofErr w:type="spellEnd"/>
            <w:r w:rsidRPr="006F445E">
              <w:rPr>
                <w:rFonts w:ascii="Arial" w:hAnsi="Arial" w:cs="Arial"/>
                <w:sz w:val="20"/>
                <w:szCs w:val="20"/>
              </w:rPr>
              <w:t xml:space="preserve">, doc. MUDr. Daniela </w:t>
            </w:r>
            <w:proofErr w:type="spellStart"/>
            <w:r w:rsidRPr="006F445E">
              <w:rPr>
                <w:rFonts w:ascii="Arial" w:hAnsi="Arial" w:cs="Arial"/>
                <w:sz w:val="20"/>
                <w:szCs w:val="20"/>
              </w:rPr>
              <w:t>Pelclová</w:t>
            </w:r>
            <w:proofErr w:type="spellEnd"/>
            <w:r w:rsidRPr="006F445E">
              <w:rPr>
                <w:rFonts w:ascii="Arial" w:hAnsi="Arial" w:cs="Arial"/>
                <w:sz w:val="20"/>
                <w:szCs w:val="20"/>
              </w:rPr>
              <w:t xml:space="preserve">, CSc., MUDr. </w:t>
            </w:r>
            <w:proofErr w:type="spellStart"/>
            <w:r w:rsidRPr="006F445E">
              <w:rPr>
                <w:rFonts w:ascii="Arial" w:hAnsi="Arial" w:cs="Arial"/>
                <w:sz w:val="20"/>
                <w:szCs w:val="20"/>
              </w:rPr>
              <w:t>Alexandr</w:t>
            </w:r>
            <w:proofErr w:type="spellEnd"/>
            <w:r w:rsidRPr="006F445E">
              <w:rPr>
                <w:rFonts w:ascii="Arial" w:hAnsi="Arial" w:cs="Arial"/>
                <w:sz w:val="20"/>
                <w:szCs w:val="20"/>
              </w:rPr>
              <w:t xml:space="preserve"> </w:t>
            </w:r>
            <w:proofErr w:type="spellStart"/>
            <w:r w:rsidRPr="006F445E">
              <w:rPr>
                <w:rFonts w:ascii="Arial" w:hAnsi="Arial" w:cs="Arial"/>
                <w:sz w:val="20"/>
                <w:szCs w:val="20"/>
              </w:rPr>
              <w:t>Fuchs</w:t>
            </w:r>
            <w:proofErr w:type="spellEnd"/>
            <w:r w:rsidRPr="006F445E">
              <w:rPr>
                <w:rFonts w:ascii="Arial" w:hAnsi="Arial" w:cs="Arial"/>
                <w:sz w:val="20"/>
                <w:szCs w:val="20"/>
              </w:rPr>
              <w:t xml:space="preserve">, CSc., MUDr. Miroslava </w:t>
            </w:r>
            <w:proofErr w:type="spellStart"/>
            <w:r w:rsidRPr="006F445E">
              <w:rPr>
                <w:rFonts w:ascii="Arial" w:hAnsi="Arial" w:cs="Arial"/>
                <w:sz w:val="20"/>
                <w:szCs w:val="20"/>
              </w:rPr>
              <w:t>Hornychová</w:t>
            </w:r>
            <w:proofErr w:type="spellEnd"/>
            <w:r w:rsidRPr="006F445E">
              <w:rPr>
                <w:rFonts w:ascii="Arial" w:hAnsi="Arial" w:cs="Arial"/>
                <w:sz w:val="20"/>
                <w:szCs w:val="20"/>
              </w:rPr>
              <w:t xml:space="preserve">, CSc., MUDr. </w:t>
            </w:r>
            <w:proofErr w:type="spellStart"/>
            <w:r w:rsidRPr="006F445E">
              <w:rPr>
                <w:rFonts w:ascii="Arial" w:hAnsi="Arial" w:cs="Arial"/>
                <w:sz w:val="20"/>
                <w:szCs w:val="20"/>
              </w:rPr>
              <w:t>Zdeňka</w:t>
            </w:r>
            <w:proofErr w:type="spellEnd"/>
            <w:r w:rsidRPr="006F445E">
              <w:rPr>
                <w:rFonts w:ascii="Arial" w:hAnsi="Arial" w:cs="Arial"/>
                <w:sz w:val="20"/>
                <w:szCs w:val="20"/>
              </w:rPr>
              <w:t xml:space="preserve"> </w:t>
            </w:r>
            <w:proofErr w:type="spellStart"/>
            <w:r w:rsidRPr="006F445E">
              <w:rPr>
                <w:rFonts w:ascii="Arial" w:hAnsi="Arial" w:cs="Arial"/>
                <w:sz w:val="20"/>
                <w:szCs w:val="20"/>
              </w:rPr>
              <w:t>Trávníčková</w:t>
            </w:r>
            <w:proofErr w:type="spellEnd"/>
            <w:r w:rsidRPr="006F445E">
              <w:rPr>
                <w:rFonts w:ascii="Arial" w:hAnsi="Arial" w:cs="Arial"/>
                <w:sz w:val="20"/>
                <w:szCs w:val="20"/>
              </w:rPr>
              <w:t xml:space="preserve">, CSc., </w:t>
            </w:r>
            <w:proofErr w:type="spellStart"/>
            <w:r w:rsidRPr="006F445E">
              <w:rPr>
                <w:rFonts w:ascii="Arial" w:hAnsi="Arial" w:cs="Arial"/>
                <w:sz w:val="20"/>
                <w:szCs w:val="20"/>
              </w:rPr>
              <w:t>Jiř</w:t>
            </w:r>
            <w:r w:rsidR="00E05DF0" w:rsidRPr="006F445E">
              <w:rPr>
                <w:rFonts w:ascii="Arial" w:hAnsi="Arial" w:cs="Arial"/>
                <w:sz w:val="20"/>
                <w:szCs w:val="20"/>
              </w:rPr>
              <w:t>ina</w:t>
            </w:r>
            <w:proofErr w:type="spellEnd"/>
            <w:r w:rsidR="00E05DF0" w:rsidRPr="006F445E">
              <w:rPr>
                <w:rFonts w:ascii="Arial" w:hAnsi="Arial" w:cs="Arial"/>
                <w:sz w:val="20"/>
                <w:szCs w:val="20"/>
              </w:rPr>
              <w:t xml:space="preserve"> </w:t>
            </w:r>
            <w:proofErr w:type="spellStart"/>
            <w:r w:rsidR="00E05DF0" w:rsidRPr="006F445E">
              <w:rPr>
                <w:rFonts w:ascii="Arial" w:hAnsi="Arial" w:cs="Arial"/>
                <w:sz w:val="20"/>
                <w:szCs w:val="20"/>
              </w:rPr>
              <w:t>Fridrichovská</w:t>
            </w:r>
            <w:proofErr w:type="spellEnd"/>
            <w:r w:rsidR="00E05DF0" w:rsidRPr="006F445E">
              <w:rPr>
                <w:rFonts w:ascii="Arial" w:hAnsi="Arial" w:cs="Arial"/>
                <w:sz w:val="20"/>
                <w:szCs w:val="20"/>
              </w:rPr>
              <w:t xml:space="preserve">, </w:t>
            </w:r>
            <w:proofErr w:type="spellStart"/>
            <w:r w:rsidR="00E05DF0" w:rsidRPr="006F445E">
              <w:rPr>
                <w:rFonts w:ascii="Arial" w:hAnsi="Arial" w:cs="Arial"/>
                <w:sz w:val="20"/>
                <w:szCs w:val="20"/>
              </w:rPr>
              <w:t>prom</w:t>
            </w:r>
            <w:proofErr w:type="spellEnd"/>
            <w:r w:rsidR="00E05DF0" w:rsidRPr="006F445E">
              <w:rPr>
                <w:rFonts w:ascii="Arial" w:hAnsi="Arial" w:cs="Arial"/>
                <w:sz w:val="20"/>
                <w:szCs w:val="20"/>
              </w:rPr>
              <w:t xml:space="preserve">. </w:t>
            </w:r>
            <w:proofErr w:type="spellStart"/>
            <w:r w:rsidR="00E05DF0" w:rsidRPr="006F445E">
              <w:rPr>
                <w:rFonts w:ascii="Arial" w:hAnsi="Arial" w:cs="Arial"/>
                <w:sz w:val="20"/>
                <w:szCs w:val="20"/>
              </w:rPr>
              <w:t>chem</w:t>
            </w:r>
            <w:proofErr w:type="spellEnd"/>
            <w:r w:rsidR="00E05DF0" w:rsidRPr="006F445E">
              <w:rPr>
                <w:rFonts w:ascii="Arial" w:hAnsi="Arial" w:cs="Arial"/>
                <w:sz w:val="20"/>
                <w:szCs w:val="20"/>
              </w:rPr>
              <w:t>.</w:t>
            </w:r>
            <w:r w:rsidRPr="006F445E">
              <w:rPr>
                <w:rFonts w:ascii="Arial" w:hAnsi="Arial" w:cs="Arial"/>
                <w:sz w:val="20"/>
                <w:szCs w:val="20"/>
              </w:rPr>
              <w:t xml:space="preserve"> </w:t>
            </w:r>
          </w:p>
          <w:p w:rsidR="00E05DF0" w:rsidRPr="006F445E" w:rsidRDefault="00E05DF0" w:rsidP="00DD79BD">
            <w:pPr>
              <w:autoSpaceDE w:val="0"/>
              <w:autoSpaceDN w:val="0"/>
              <w:adjustRightInd w:val="0"/>
              <w:spacing w:after="0" w:line="240" w:lineRule="auto"/>
              <w:rPr>
                <w:rFonts w:ascii="Arial" w:hAnsi="Arial" w:cs="Arial"/>
                <w:sz w:val="20"/>
                <w:szCs w:val="20"/>
              </w:rPr>
            </w:pPr>
          </w:p>
          <w:p w:rsidR="00E05DF0" w:rsidRPr="006F445E" w:rsidRDefault="00E05DF0"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Plné znenie H-vyhlásení:</w:t>
            </w:r>
          </w:p>
          <w:p w:rsidR="000C65FD" w:rsidRPr="006F445E" w:rsidRDefault="000C65FD" w:rsidP="000C65F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H220 Mimoriadne horľavý plyn.</w:t>
            </w:r>
          </w:p>
          <w:p w:rsidR="00060AD8" w:rsidRPr="006F445E" w:rsidRDefault="00060AD8" w:rsidP="000C65F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H225 Veľmi horľavá kvapalina a pary.</w:t>
            </w:r>
          </w:p>
          <w:p w:rsidR="000C65FD" w:rsidRPr="006F445E" w:rsidRDefault="000C65FD" w:rsidP="000C65F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H280 Obsahuje plyn pod tlakom, pri zahriatí môže vybuchnúť.</w:t>
            </w:r>
          </w:p>
          <w:p w:rsidR="006F445E" w:rsidRPr="006F445E" w:rsidRDefault="006F445E"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H304 Môže byť smrteľný po požití a vniknutí do dýchacích ciest. </w:t>
            </w:r>
          </w:p>
          <w:p w:rsidR="006F445E" w:rsidRPr="006F445E" w:rsidRDefault="006F445E"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H315 Spôsobuje podráždenie kože</w:t>
            </w:r>
          </w:p>
          <w:p w:rsidR="00060AD8" w:rsidRPr="006F445E" w:rsidRDefault="00060AD8" w:rsidP="00060AD8">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H336 Môže spôsobiť ospalosť alebo závraty.</w:t>
            </w:r>
          </w:p>
          <w:p w:rsidR="006F445E" w:rsidRPr="006F445E" w:rsidRDefault="006F445E" w:rsidP="006F445E">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H411 Toxický pre vodné organizmy, s dlhodobými účinkami.</w:t>
            </w:r>
          </w:p>
          <w:p w:rsidR="00060AD8" w:rsidRPr="006F445E" w:rsidRDefault="00060AD8" w:rsidP="00060AD8">
            <w:pPr>
              <w:autoSpaceDE w:val="0"/>
              <w:autoSpaceDN w:val="0"/>
              <w:adjustRightInd w:val="0"/>
              <w:spacing w:after="0" w:line="240" w:lineRule="auto"/>
              <w:rPr>
                <w:rFonts w:ascii="Arial" w:hAnsi="Arial" w:cs="Arial"/>
                <w:sz w:val="20"/>
                <w:szCs w:val="20"/>
              </w:rPr>
            </w:pP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Údaje od výrobcu látky / zmesi, ak sú k dispozícii - údaje z registračnej dokumentácie. </w:t>
            </w: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 xml:space="preserve">Ďalšie údaje Postup klasifikácie - metóda výpočtu. </w:t>
            </w:r>
          </w:p>
          <w:p w:rsidR="00D1286E" w:rsidRPr="006F445E" w:rsidRDefault="00D1286E" w:rsidP="00DD79BD">
            <w:pPr>
              <w:autoSpaceDE w:val="0"/>
              <w:autoSpaceDN w:val="0"/>
              <w:adjustRightInd w:val="0"/>
              <w:spacing w:after="0" w:line="240" w:lineRule="auto"/>
              <w:rPr>
                <w:rFonts w:ascii="Arial" w:hAnsi="Arial" w:cs="Arial"/>
                <w:sz w:val="20"/>
                <w:szCs w:val="20"/>
              </w:rPr>
            </w:pPr>
          </w:p>
          <w:p w:rsidR="00D1286E" w:rsidRPr="006F445E" w:rsidRDefault="00D1286E" w:rsidP="00DD79BD">
            <w:pPr>
              <w:autoSpaceDE w:val="0"/>
              <w:autoSpaceDN w:val="0"/>
              <w:adjustRightInd w:val="0"/>
              <w:spacing w:after="0" w:line="240" w:lineRule="auto"/>
              <w:rPr>
                <w:rFonts w:ascii="Arial" w:hAnsi="Arial" w:cs="Arial"/>
                <w:sz w:val="20"/>
                <w:szCs w:val="20"/>
              </w:rPr>
            </w:pPr>
            <w:r w:rsidRPr="006F445E">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55608E" w:rsidRPr="0055608E" w:rsidRDefault="0055608E" w:rsidP="000A7AE4">
      <w:pPr>
        <w:rPr>
          <w:rFonts w:ascii="Arial" w:hAnsi="Arial" w:cs="Arial"/>
          <w:sz w:val="20"/>
          <w:szCs w:val="20"/>
          <w:lang w:val="en-US"/>
        </w:rPr>
      </w:pPr>
    </w:p>
    <w:sectPr w:rsidR="0055608E" w:rsidRPr="0055608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A9E" w:rsidRDefault="00840A9E" w:rsidP="00DD79BD">
      <w:pPr>
        <w:spacing w:after="0" w:line="240" w:lineRule="auto"/>
      </w:pPr>
      <w:r>
        <w:separator/>
      </w:r>
    </w:p>
  </w:endnote>
  <w:endnote w:type="continuationSeparator" w:id="0">
    <w:p w:rsidR="00840A9E" w:rsidRDefault="00840A9E"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B9" w:rsidRPr="00DD79BD" w:rsidRDefault="00012FA9" w:rsidP="00DD79BD">
    <w:pPr>
      <w:pStyle w:val="Pta"/>
      <w:rPr>
        <w:rFonts w:ascii="Arial" w:hAnsi="Arial" w:cs="Arial"/>
        <w:sz w:val="20"/>
      </w:rPr>
    </w:pPr>
    <w:proofErr w:type="spellStart"/>
    <w:r w:rsidRPr="00012FA9">
      <w:rPr>
        <w:rFonts w:ascii="Arial" w:hAnsi="Arial" w:cs="Arial"/>
        <w:sz w:val="20"/>
        <w:szCs w:val="20"/>
      </w:rPr>
      <w:t>Cyklon</w:t>
    </w:r>
    <w:proofErr w:type="spellEnd"/>
    <w:r w:rsidRPr="00012FA9">
      <w:rPr>
        <w:rFonts w:ascii="Arial" w:hAnsi="Arial" w:cs="Arial"/>
        <w:sz w:val="20"/>
        <w:szCs w:val="20"/>
      </w:rPr>
      <w:t xml:space="preserve"> Čistič bŕzd</w:t>
    </w:r>
    <w:r w:rsidR="001342B9">
      <w:rPr>
        <w:rFonts w:ascii="Arial" w:hAnsi="Arial" w:cs="Arial"/>
        <w:sz w:val="20"/>
      </w:rPr>
      <w:tab/>
    </w:r>
    <w:r w:rsidR="001342B9">
      <w:rPr>
        <w:rFonts w:ascii="Arial" w:hAnsi="Arial" w:cs="Arial"/>
        <w:sz w:val="20"/>
      </w:rPr>
      <w:tab/>
    </w:r>
    <w:r w:rsidR="001342B9">
      <w:rPr>
        <w:rFonts w:ascii="Arial" w:hAnsi="Arial" w:cs="Arial"/>
        <w:sz w:val="20"/>
      </w:rPr>
      <w:fldChar w:fldCharType="begin"/>
    </w:r>
    <w:r w:rsidR="001342B9">
      <w:rPr>
        <w:rFonts w:ascii="Arial" w:hAnsi="Arial" w:cs="Arial"/>
        <w:sz w:val="20"/>
      </w:rPr>
      <w:instrText xml:space="preserve"> PAGE  \* MERGEFORMAT </w:instrText>
    </w:r>
    <w:r w:rsidR="001342B9">
      <w:rPr>
        <w:rFonts w:ascii="Arial" w:hAnsi="Arial" w:cs="Arial"/>
        <w:sz w:val="20"/>
      </w:rPr>
      <w:fldChar w:fldCharType="separate"/>
    </w:r>
    <w:r>
      <w:rPr>
        <w:rFonts w:ascii="Arial" w:hAnsi="Arial" w:cs="Arial"/>
        <w:noProof/>
        <w:sz w:val="20"/>
      </w:rPr>
      <w:t>10</w:t>
    </w:r>
    <w:r w:rsidR="001342B9">
      <w:rPr>
        <w:rFonts w:ascii="Arial" w:hAnsi="Arial" w:cs="Arial"/>
        <w:sz w:val="20"/>
      </w:rPr>
      <w:fldChar w:fldCharType="end"/>
    </w:r>
    <w:r w:rsidR="001342B9">
      <w:rPr>
        <w:rFonts w:ascii="Arial" w:hAnsi="Arial" w:cs="Arial"/>
        <w:sz w:val="20"/>
      </w:rPr>
      <w:t>/</w:t>
    </w:r>
    <w:r w:rsidR="001342B9">
      <w:rPr>
        <w:rFonts w:ascii="Arial" w:hAnsi="Arial" w:cs="Arial"/>
        <w:sz w:val="20"/>
      </w:rPr>
      <w:fldChar w:fldCharType="begin"/>
    </w:r>
    <w:r w:rsidR="001342B9">
      <w:rPr>
        <w:rFonts w:ascii="Arial" w:hAnsi="Arial" w:cs="Arial"/>
        <w:sz w:val="20"/>
      </w:rPr>
      <w:instrText xml:space="preserve"> NUMPAGES  \* MERGEFORMAT </w:instrText>
    </w:r>
    <w:r w:rsidR="001342B9">
      <w:rPr>
        <w:rFonts w:ascii="Arial" w:hAnsi="Arial" w:cs="Arial"/>
        <w:sz w:val="20"/>
      </w:rPr>
      <w:fldChar w:fldCharType="separate"/>
    </w:r>
    <w:r>
      <w:rPr>
        <w:rFonts w:ascii="Arial" w:hAnsi="Arial" w:cs="Arial"/>
        <w:noProof/>
        <w:sz w:val="20"/>
      </w:rPr>
      <w:t>10</w:t>
    </w:r>
    <w:r w:rsidR="001342B9">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A9E" w:rsidRDefault="00840A9E" w:rsidP="00DD79BD">
      <w:pPr>
        <w:spacing w:after="0" w:line="240" w:lineRule="auto"/>
      </w:pPr>
      <w:r>
        <w:separator/>
      </w:r>
    </w:p>
  </w:footnote>
  <w:footnote w:type="continuationSeparator" w:id="0">
    <w:p w:rsidR="00840A9E" w:rsidRDefault="00840A9E"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B9" w:rsidRDefault="001342B9"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1342B9" w:rsidTr="00352853">
      <w:tc>
        <w:tcPr>
          <w:tcW w:w="9100" w:type="dxa"/>
          <w:gridSpan w:val="5"/>
          <w:hideMark/>
        </w:tcPr>
        <w:p w:rsidR="001342B9" w:rsidRDefault="001342B9"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1342B9" w:rsidRDefault="001342B9"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342B9" w:rsidRDefault="001342B9"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1342B9" w:rsidRDefault="001342B9"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1342B9" w:rsidTr="00352853">
      <w:tc>
        <w:tcPr>
          <w:tcW w:w="9100" w:type="dxa"/>
          <w:gridSpan w:val="5"/>
          <w:tcBorders>
            <w:top w:val="single" w:sz="4" w:space="0" w:color="auto"/>
            <w:left w:val="single" w:sz="4" w:space="0" w:color="auto"/>
            <w:bottom w:val="single" w:sz="4" w:space="0" w:color="auto"/>
            <w:right w:val="single" w:sz="4" w:space="0" w:color="auto"/>
          </w:tcBorders>
          <w:hideMark/>
        </w:tcPr>
        <w:p w:rsidR="001342B9" w:rsidRPr="00012FA9" w:rsidRDefault="00012FA9" w:rsidP="00211B17">
          <w:pPr>
            <w:spacing w:after="0"/>
            <w:jc w:val="center"/>
            <w:rPr>
              <w:rFonts w:ascii="Arial" w:hAnsi="Arial" w:cs="Arial"/>
              <w:b/>
              <w:sz w:val="20"/>
              <w:szCs w:val="20"/>
            </w:rPr>
          </w:pPr>
          <w:proofErr w:type="spellStart"/>
          <w:r w:rsidRPr="00012FA9">
            <w:rPr>
              <w:rFonts w:ascii="Arial" w:hAnsi="Arial" w:cs="Arial"/>
              <w:b/>
              <w:sz w:val="20"/>
              <w:szCs w:val="20"/>
            </w:rPr>
            <w:t>Cyklon</w:t>
          </w:r>
          <w:proofErr w:type="spellEnd"/>
          <w:r w:rsidRPr="00012FA9">
            <w:rPr>
              <w:rFonts w:ascii="Arial" w:hAnsi="Arial" w:cs="Arial"/>
              <w:b/>
              <w:sz w:val="20"/>
              <w:szCs w:val="20"/>
            </w:rPr>
            <w:t xml:space="preserve"> Čistič bŕzd</w:t>
          </w:r>
        </w:p>
      </w:tc>
    </w:tr>
    <w:tr w:rsidR="001342B9"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1342B9" w:rsidRPr="004C5630" w:rsidRDefault="001342B9"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42B9" w:rsidRPr="004C5630" w:rsidRDefault="00012FA9" w:rsidP="00012FA9">
          <w:pPr>
            <w:autoSpaceDE w:val="0"/>
            <w:autoSpaceDN w:val="0"/>
            <w:adjustRightInd w:val="0"/>
            <w:spacing w:after="0" w:line="240" w:lineRule="auto"/>
            <w:rPr>
              <w:rFonts w:ascii="Arial" w:hAnsi="Arial" w:cs="Arial"/>
              <w:sz w:val="20"/>
              <w:szCs w:val="20"/>
            </w:rPr>
          </w:pPr>
          <w:r>
            <w:rPr>
              <w:rFonts w:ascii="Arial" w:hAnsi="Arial" w:cs="Arial"/>
              <w:sz w:val="20"/>
              <w:szCs w:val="20"/>
            </w:rPr>
            <w:t>09</w:t>
          </w:r>
          <w:r w:rsidR="001342B9" w:rsidRPr="00352853">
            <w:rPr>
              <w:rFonts w:ascii="Arial" w:hAnsi="Arial" w:cs="Arial"/>
              <w:sz w:val="20"/>
              <w:szCs w:val="20"/>
            </w:rPr>
            <w:t xml:space="preserve">. </w:t>
          </w:r>
          <w:r w:rsidR="008B7EB8">
            <w:rPr>
              <w:rFonts w:ascii="Arial" w:hAnsi="Arial" w:cs="Arial"/>
              <w:sz w:val="20"/>
              <w:szCs w:val="20"/>
            </w:rPr>
            <w:t xml:space="preserve">apríla </w:t>
          </w:r>
          <w:r w:rsidR="001342B9"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42B9" w:rsidRPr="004C5630" w:rsidRDefault="001342B9"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42B9" w:rsidRPr="004C5630" w:rsidRDefault="001342B9" w:rsidP="001A196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1342B9" w:rsidRPr="00352853" w:rsidRDefault="001342B9">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12FA9"/>
    <w:rsid w:val="00014406"/>
    <w:rsid w:val="000202E4"/>
    <w:rsid w:val="00020E46"/>
    <w:rsid w:val="000477F4"/>
    <w:rsid w:val="00060AD8"/>
    <w:rsid w:val="00065573"/>
    <w:rsid w:val="000772E8"/>
    <w:rsid w:val="0008489A"/>
    <w:rsid w:val="000A7AE4"/>
    <w:rsid w:val="000B6304"/>
    <w:rsid w:val="000C65FD"/>
    <w:rsid w:val="000C7D17"/>
    <w:rsid w:val="000E2E6E"/>
    <w:rsid w:val="000E37F8"/>
    <w:rsid w:val="000F5A44"/>
    <w:rsid w:val="00113F81"/>
    <w:rsid w:val="0013241E"/>
    <w:rsid w:val="001342B9"/>
    <w:rsid w:val="00166890"/>
    <w:rsid w:val="001871D3"/>
    <w:rsid w:val="001A196A"/>
    <w:rsid w:val="001A3846"/>
    <w:rsid w:val="001B6432"/>
    <w:rsid w:val="001E6994"/>
    <w:rsid w:val="001F0C55"/>
    <w:rsid w:val="00211B17"/>
    <w:rsid w:val="002133D0"/>
    <w:rsid w:val="002B3C0E"/>
    <w:rsid w:val="002E33BF"/>
    <w:rsid w:val="00310718"/>
    <w:rsid w:val="0031583E"/>
    <w:rsid w:val="0034417B"/>
    <w:rsid w:val="00352853"/>
    <w:rsid w:val="00363D60"/>
    <w:rsid w:val="003671DA"/>
    <w:rsid w:val="0038199A"/>
    <w:rsid w:val="00391F64"/>
    <w:rsid w:val="003A3FED"/>
    <w:rsid w:val="003A405E"/>
    <w:rsid w:val="003F0969"/>
    <w:rsid w:val="004068A8"/>
    <w:rsid w:val="00446607"/>
    <w:rsid w:val="0044767E"/>
    <w:rsid w:val="00453EDA"/>
    <w:rsid w:val="00492B67"/>
    <w:rsid w:val="004B1F43"/>
    <w:rsid w:val="004C4623"/>
    <w:rsid w:val="004C5630"/>
    <w:rsid w:val="00526B1D"/>
    <w:rsid w:val="005555FA"/>
    <w:rsid w:val="00555621"/>
    <w:rsid w:val="0055608E"/>
    <w:rsid w:val="00577862"/>
    <w:rsid w:val="005D16EF"/>
    <w:rsid w:val="005D3712"/>
    <w:rsid w:val="005E68C9"/>
    <w:rsid w:val="00620FCA"/>
    <w:rsid w:val="006223C7"/>
    <w:rsid w:val="00624F76"/>
    <w:rsid w:val="00656C5E"/>
    <w:rsid w:val="00667996"/>
    <w:rsid w:val="0069123C"/>
    <w:rsid w:val="006B24EF"/>
    <w:rsid w:val="006F445E"/>
    <w:rsid w:val="00702A05"/>
    <w:rsid w:val="00727DC9"/>
    <w:rsid w:val="00763E56"/>
    <w:rsid w:val="007E5E9D"/>
    <w:rsid w:val="007F24AE"/>
    <w:rsid w:val="007F7839"/>
    <w:rsid w:val="0080446E"/>
    <w:rsid w:val="008378A2"/>
    <w:rsid w:val="00840A9E"/>
    <w:rsid w:val="00846B73"/>
    <w:rsid w:val="00865021"/>
    <w:rsid w:val="008B7EB8"/>
    <w:rsid w:val="008D5F54"/>
    <w:rsid w:val="008E4DD7"/>
    <w:rsid w:val="008F3027"/>
    <w:rsid w:val="009253B3"/>
    <w:rsid w:val="009905F2"/>
    <w:rsid w:val="009E2B14"/>
    <w:rsid w:val="00A02D9B"/>
    <w:rsid w:val="00A20B35"/>
    <w:rsid w:val="00A450D3"/>
    <w:rsid w:val="00A749DC"/>
    <w:rsid w:val="00AA0CDD"/>
    <w:rsid w:val="00AA266B"/>
    <w:rsid w:val="00AF5CEA"/>
    <w:rsid w:val="00AF72A9"/>
    <w:rsid w:val="00B06E2F"/>
    <w:rsid w:val="00B07E5D"/>
    <w:rsid w:val="00B20145"/>
    <w:rsid w:val="00B207CF"/>
    <w:rsid w:val="00B44814"/>
    <w:rsid w:val="00B86951"/>
    <w:rsid w:val="00BC65AC"/>
    <w:rsid w:val="00C103A4"/>
    <w:rsid w:val="00C26F16"/>
    <w:rsid w:val="00C40611"/>
    <w:rsid w:val="00C7481F"/>
    <w:rsid w:val="00C7544E"/>
    <w:rsid w:val="00C97141"/>
    <w:rsid w:val="00CE0639"/>
    <w:rsid w:val="00D1286E"/>
    <w:rsid w:val="00D20128"/>
    <w:rsid w:val="00D20FCC"/>
    <w:rsid w:val="00D43DF3"/>
    <w:rsid w:val="00DB08E0"/>
    <w:rsid w:val="00DD79BD"/>
    <w:rsid w:val="00DE1247"/>
    <w:rsid w:val="00E05DF0"/>
    <w:rsid w:val="00E73A25"/>
    <w:rsid w:val="00E940DC"/>
    <w:rsid w:val="00EC58D3"/>
    <w:rsid w:val="00EC7CD7"/>
    <w:rsid w:val="00ED0A4A"/>
    <w:rsid w:val="00EF6E6A"/>
    <w:rsid w:val="00EF6F1E"/>
    <w:rsid w:val="00F40284"/>
    <w:rsid w:val="00F427CC"/>
    <w:rsid w:val="00F537CC"/>
    <w:rsid w:val="00F72AC1"/>
    <w:rsid w:val="00F73132"/>
    <w:rsid w:val="00FA14BA"/>
    <w:rsid w:val="00FD1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6C4A40-D566-4C09-8BC4-1D202491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744226852">
      <w:bodyDiv w:val="1"/>
      <w:marLeft w:val="0"/>
      <w:marRight w:val="0"/>
      <w:marTop w:val="0"/>
      <w:marBottom w:val="0"/>
      <w:divBdr>
        <w:top w:val="none" w:sz="0" w:space="0" w:color="auto"/>
        <w:left w:val="none" w:sz="0" w:space="0" w:color="auto"/>
        <w:bottom w:val="none" w:sz="0" w:space="0" w:color="auto"/>
        <w:right w:val="none" w:sz="0" w:space="0" w:color="auto"/>
      </w:divBdr>
    </w:div>
    <w:div w:id="1097091571">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7231-5618-4A33-BFB4-07BFAB08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3323</Words>
  <Characters>18942</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3</cp:revision>
  <dcterms:created xsi:type="dcterms:W3CDTF">2021-07-07T15:38:00Z</dcterms:created>
  <dcterms:modified xsi:type="dcterms:W3CDTF">2021-07-07T15:44:00Z</dcterms:modified>
</cp:coreProperties>
</file>