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95" w:rsidRPr="00A82AB4" w:rsidRDefault="002C79AC">
      <w:pPr>
        <w:rPr>
          <w:sz w:val="40"/>
        </w:rPr>
      </w:pPr>
      <w:r w:rsidRPr="00A82AB4">
        <w:rPr>
          <w:noProof/>
          <w:sz w:val="40"/>
        </w:rPr>
        <mc:AlternateContent>
          <mc:Choice Requires="wps">
            <w:drawing>
              <wp:anchor distT="0" distB="0" distL="114300" distR="114300" simplePos="0" relativeHeight="251657728" behindDoc="1" locked="0" layoutInCell="1" allowOverlap="1">
                <wp:simplePos x="0" y="0"/>
                <wp:positionH relativeFrom="column">
                  <wp:posOffset>-22860</wp:posOffset>
                </wp:positionH>
                <wp:positionV relativeFrom="paragraph">
                  <wp:posOffset>348615</wp:posOffset>
                </wp:positionV>
                <wp:extent cx="5751830" cy="52514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A7B4CC" id="Rectangle 3" o:spid="_x0000_s1026" style="position:absolute;margin-left:-1.8pt;margin-top:27.45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" fillcolor="#cfcdcd" stroked="f" strokecolor="#f2f2f2" strokeweight="3pt">
                <v:shadow color="#823b0b" opacity=".5" offset="1pt"/>
                <v:path arrowok="t"/>
              </v:rect>
            </w:pict>
          </mc:Fallback>
        </mc:AlternateContent>
      </w:r>
    </w:p>
    <w:p w:rsidR="00AB4D47" w:rsidRPr="00A82AB4" w:rsidRDefault="00F15373" w:rsidP="00E84BD6">
      <w:pPr>
        <w:tabs>
          <w:tab w:val="right" w:pos="8647"/>
        </w:tabs>
        <w:ind w:left="142"/>
        <w:rPr>
          <w:b/>
          <w:sz w:val="32"/>
        </w:rPr>
      </w:pPr>
      <w:r w:rsidRPr="00A82AB4">
        <w:rPr>
          <w:sz w:val="40"/>
        </w:rPr>
        <w:t>Technic</w:t>
      </w:r>
      <w:r w:rsidR="00A82AB4" w:rsidRPr="00A82AB4">
        <w:rPr>
          <w:sz w:val="40"/>
        </w:rPr>
        <w:t>ký list</w:t>
      </w:r>
      <w:r w:rsidR="00357F95" w:rsidRPr="00A82AB4">
        <w:rPr>
          <w:sz w:val="40"/>
        </w:rPr>
        <w:t>:</w:t>
      </w:r>
      <w:r w:rsidR="00E57134">
        <w:rPr>
          <w:sz w:val="40"/>
        </w:rPr>
        <w:tab/>
      </w:r>
      <w:r w:rsidR="005A3298">
        <w:rPr>
          <w:b/>
          <w:sz w:val="32"/>
        </w:rPr>
        <w:t>CYKLON</w:t>
      </w:r>
      <w:r w:rsidRPr="00A82AB4">
        <w:rPr>
          <w:b/>
          <w:sz w:val="32"/>
        </w:rPr>
        <w:t xml:space="preserve"> </w:t>
      </w:r>
      <w:r w:rsidR="00375E04">
        <w:rPr>
          <w:b/>
          <w:sz w:val="32"/>
        </w:rPr>
        <w:t>Značkovacia farba</w:t>
      </w:r>
    </w:p>
    <w:p w:rsidR="00357F95" w:rsidRPr="005A3298" w:rsidRDefault="00A82AB4" w:rsidP="005A3298">
      <w:pPr>
        <w:ind w:left="142"/>
        <w:rPr>
          <w:sz w:val="20"/>
          <w:szCs w:val="20"/>
        </w:rPr>
      </w:pPr>
      <w:r w:rsidRPr="00A82AB4">
        <w:rPr>
          <w:sz w:val="20"/>
          <w:szCs w:val="20"/>
        </w:rPr>
        <w:t>Číslo tovaru</w:t>
      </w:r>
      <w:r w:rsidR="00336838" w:rsidRPr="00A82AB4">
        <w:rPr>
          <w:sz w:val="20"/>
          <w:szCs w:val="20"/>
        </w:rPr>
        <w:t>:</w:t>
      </w:r>
      <w:r w:rsidR="00F15373" w:rsidRPr="00A82AB4">
        <w:rPr>
          <w:sz w:val="20"/>
          <w:szCs w:val="20"/>
        </w:rPr>
        <w:t xml:space="preserve"> </w:t>
      </w:r>
      <w:r w:rsidR="005A3298" w:rsidRPr="005A3298">
        <w:rPr>
          <w:sz w:val="20"/>
          <w:szCs w:val="20"/>
        </w:rPr>
        <w:t>1903001</w:t>
      </w:r>
      <w:r w:rsidR="005A3298">
        <w:rPr>
          <w:sz w:val="20"/>
          <w:szCs w:val="20"/>
        </w:rPr>
        <w:t xml:space="preserve">, </w:t>
      </w:r>
      <w:r w:rsidR="005A3298" w:rsidRPr="005A3298">
        <w:rPr>
          <w:sz w:val="20"/>
          <w:szCs w:val="20"/>
        </w:rPr>
        <w:t>1903002</w:t>
      </w:r>
      <w:r w:rsidR="005A3298">
        <w:rPr>
          <w:sz w:val="20"/>
          <w:szCs w:val="20"/>
        </w:rPr>
        <w:t xml:space="preserve">, </w:t>
      </w:r>
      <w:r w:rsidR="005A3298" w:rsidRPr="005A3298">
        <w:rPr>
          <w:sz w:val="20"/>
          <w:szCs w:val="20"/>
        </w:rPr>
        <w:t>1903003</w:t>
      </w:r>
      <w:r w:rsidR="005A3298">
        <w:rPr>
          <w:sz w:val="20"/>
          <w:szCs w:val="20"/>
        </w:rPr>
        <w:t xml:space="preserve">, </w:t>
      </w:r>
      <w:r w:rsidR="005A3298" w:rsidRPr="005A3298">
        <w:rPr>
          <w:sz w:val="20"/>
          <w:szCs w:val="20"/>
        </w:rPr>
        <w:t>1903004</w:t>
      </w:r>
      <w:r w:rsidR="00E23741">
        <w:rPr>
          <w:sz w:val="20"/>
          <w:szCs w:val="20"/>
        </w:rPr>
        <w:t>, 1903005</w:t>
      </w:r>
    </w:p>
    <w:p w:rsidR="00375E04" w:rsidRPr="00FB2D8E" w:rsidRDefault="00375E04" w:rsidP="00375E04">
      <w:pPr>
        <w:pStyle w:val="Hlavika"/>
        <w:tabs>
          <w:tab w:val="clear" w:pos="4536"/>
          <w:tab w:val="clear" w:pos="9072"/>
        </w:tabs>
        <w:rPr>
          <w:rFonts w:ascii="Century Gothic" w:hAnsi="Century Gothic" w:cs="Courier New"/>
          <w:sz w:val="20"/>
          <w:szCs w:val="20"/>
        </w:rPr>
      </w:pPr>
    </w:p>
    <w:p w:rsidR="00375E04" w:rsidRPr="00FB2D8E" w:rsidRDefault="005A3298" w:rsidP="00375E04">
      <w:r>
        <w:rPr>
          <w:b/>
        </w:rPr>
        <w:t>CYKLON</w:t>
      </w:r>
      <w:r w:rsidR="00375E04" w:rsidRPr="00375E04">
        <w:rPr>
          <w:b/>
        </w:rPr>
        <w:t xml:space="preserve"> Značkovacia farba</w:t>
      </w:r>
      <w:r w:rsidR="00375E04">
        <w:t xml:space="preserve"> v spreji je dostupná vo farbách modrá, červená, zelená, oranžová</w:t>
      </w:r>
      <w:r w:rsidR="00E23741">
        <w:t xml:space="preserve"> a biela</w:t>
      </w:r>
      <w:r w:rsidR="00375E04">
        <w:t xml:space="preserve">. Predstavuje rýchloschnúci systém lakov, pigmentov </w:t>
      </w:r>
      <w:proofErr w:type="spellStart"/>
      <w:r w:rsidR="00375E04">
        <w:t>dispergovaných</w:t>
      </w:r>
      <w:proofErr w:type="spellEnd"/>
      <w:r w:rsidR="00375E04">
        <w:t xml:space="preserve"> v spojivách a rozpúšťadlách.</w:t>
      </w:r>
    </w:p>
    <w:p w:rsidR="00375E04" w:rsidRPr="00FB2D8E" w:rsidRDefault="00375E04" w:rsidP="00375E04">
      <w:pPr>
        <w:rPr>
          <w:rFonts w:ascii="Century Gothic" w:hAnsi="Century Gothic" w:cs="Courier New"/>
          <w:sz w:val="20"/>
          <w:szCs w:val="20"/>
        </w:rPr>
      </w:pPr>
    </w:p>
    <w:p w:rsidR="00375E04" w:rsidRDefault="00375E04" w:rsidP="00375E04">
      <w:pPr>
        <w:pStyle w:val="Nadpis1"/>
        <w:rPr>
          <w:lang w:val="sk-SK"/>
        </w:rPr>
      </w:pPr>
      <w:r w:rsidRPr="009A0E38">
        <w:rPr>
          <w:lang w:val="sk-SK"/>
        </w:rPr>
        <w:t>Vlastnosti produktu</w:t>
      </w:r>
    </w:p>
    <w:p w:rsidR="00375E04" w:rsidRPr="00375E04" w:rsidRDefault="00375E04" w:rsidP="00375E04"/>
    <w:p w:rsidR="00375E04" w:rsidRDefault="00375E04" w:rsidP="00375E04">
      <w:pPr>
        <w:numPr>
          <w:ilvl w:val="0"/>
          <w:numId w:val="10"/>
        </w:numPr>
      </w:pPr>
      <w:r>
        <w:t>rýchloschnúca</w:t>
      </w:r>
    </w:p>
    <w:p w:rsidR="00375E04" w:rsidRDefault="00375E04" w:rsidP="00375E04">
      <w:pPr>
        <w:numPr>
          <w:ilvl w:val="0"/>
          <w:numId w:val="10"/>
        </w:numPr>
      </w:pPr>
      <w:r>
        <w:t>trvanlivé a viditeľné značkovania</w:t>
      </w:r>
    </w:p>
    <w:p w:rsidR="00375E04" w:rsidRDefault="00375E04" w:rsidP="00375E04">
      <w:pPr>
        <w:numPr>
          <w:ilvl w:val="0"/>
          <w:numId w:val="10"/>
        </w:numPr>
      </w:pPr>
      <w:r>
        <w:t>priľnavá na väčšine podkladov</w:t>
      </w:r>
    </w:p>
    <w:p w:rsidR="00375E04" w:rsidRDefault="00375E04" w:rsidP="00375E04">
      <w:pPr>
        <w:numPr>
          <w:ilvl w:val="0"/>
          <w:numId w:val="10"/>
        </w:numPr>
      </w:pPr>
      <w:r>
        <w:t>bez olova a kadmia</w:t>
      </w:r>
    </w:p>
    <w:p w:rsidR="00375E04" w:rsidRDefault="00375E04" w:rsidP="00375E04">
      <w:pPr>
        <w:numPr>
          <w:ilvl w:val="0"/>
          <w:numId w:val="10"/>
        </w:numPr>
      </w:pPr>
      <w:r>
        <w:t xml:space="preserve">dodávaná so striekacou </w:t>
      </w:r>
      <w:proofErr w:type="spellStart"/>
      <w:r>
        <w:t>tryskou</w:t>
      </w:r>
      <w:proofErr w:type="spellEnd"/>
      <w:r>
        <w:t xml:space="preserve"> alebo s </w:t>
      </w:r>
      <w:proofErr w:type="spellStart"/>
      <w:r>
        <w:t>tryskou</w:t>
      </w:r>
      <w:proofErr w:type="spellEnd"/>
      <w:r>
        <w:t xml:space="preserve"> pre označovanie dolu hlavou</w:t>
      </w:r>
    </w:p>
    <w:p w:rsidR="00375E04" w:rsidRPr="00FB2D8E" w:rsidRDefault="00375E04" w:rsidP="00375E04">
      <w:pPr>
        <w:rPr>
          <w:rFonts w:ascii="Century Gothic" w:hAnsi="Century Gothic" w:cs="Courier New"/>
          <w:sz w:val="20"/>
          <w:szCs w:val="20"/>
        </w:rPr>
      </w:pPr>
    </w:p>
    <w:p w:rsidR="00375E04" w:rsidRPr="00FB2D8E" w:rsidRDefault="00375E04" w:rsidP="00375E04">
      <w:pPr>
        <w:pStyle w:val="Nadpis1"/>
      </w:pPr>
      <w:r w:rsidRPr="00FB2D8E">
        <w:t>Oblasti použitia</w:t>
      </w:r>
    </w:p>
    <w:p w:rsidR="00375E04" w:rsidRPr="00FB2D8E" w:rsidRDefault="00375E04" w:rsidP="00375E04">
      <w:pPr>
        <w:rPr>
          <w:rFonts w:ascii="Century Gothic" w:hAnsi="Century Gothic" w:cs="Courier New"/>
          <w:sz w:val="20"/>
          <w:szCs w:val="20"/>
        </w:rPr>
      </w:pPr>
    </w:p>
    <w:p w:rsidR="00375E04" w:rsidRDefault="00375E04" w:rsidP="00375E04">
      <w:pPr>
        <w:numPr>
          <w:ilvl w:val="0"/>
          <w:numId w:val="11"/>
        </w:numPr>
      </w:pPr>
      <w:r>
        <w:t>pre viditeľné farebné označovanie na asfalt, betón, drevo a iné podlahové materiály</w:t>
      </w:r>
    </w:p>
    <w:p w:rsidR="00375E04" w:rsidRDefault="00375E04" w:rsidP="00375E04">
      <w:pPr>
        <w:numPr>
          <w:ilvl w:val="0"/>
          <w:numId w:val="11"/>
        </w:numPr>
      </w:pPr>
      <w:r>
        <w:t>pre označovanie v lesnom a drevárskom hospodárstve</w:t>
      </w:r>
    </w:p>
    <w:p w:rsidR="00375E04" w:rsidRDefault="00375E04" w:rsidP="00375E04">
      <w:pPr>
        <w:numPr>
          <w:ilvl w:val="0"/>
          <w:numId w:val="11"/>
        </w:numPr>
      </w:pPr>
      <w:r>
        <w:t>pre označovanie merných bodov v stavebnom priemysle</w:t>
      </w:r>
    </w:p>
    <w:p w:rsidR="00375E04" w:rsidRDefault="00375E04" w:rsidP="00375E04">
      <w:pPr>
        <w:rPr>
          <w:rFonts w:ascii="Century Gothic" w:hAnsi="Century Gothic" w:cs="Courier New"/>
          <w:sz w:val="20"/>
          <w:szCs w:val="20"/>
        </w:rPr>
      </w:pPr>
    </w:p>
    <w:p w:rsidR="00375E04" w:rsidRPr="009A0E38" w:rsidRDefault="00375E04" w:rsidP="00375E04">
      <w:pPr>
        <w:pStyle w:val="Nadpis1"/>
        <w:rPr>
          <w:lang w:val="sk-SK"/>
        </w:rPr>
      </w:pPr>
      <w:r w:rsidRPr="009A0E38">
        <w:rPr>
          <w:lang w:val="sk-SK"/>
        </w:rPr>
        <w:t>Informácie o spracovaní</w:t>
      </w:r>
    </w:p>
    <w:p w:rsidR="00375E04" w:rsidRDefault="00375E04" w:rsidP="00375E04">
      <w:pPr>
        <w:rPr>
          <w:rFonts w:ascii="Century Gothic" w:hAnsi="Century Gothic" w:cs="Courier New"/>
          <w:sz w:val="20"/>
          <w:szCs w:val="20"/>
        </w:rPr>
      </w:pPr>
    </w:p>
    <w:p w:rsidR="00375E04" w:rsidRDefault="00375E04" w:rsidP="00375E04">
      <w:r>
        <w:t xml:space="preserve">Nádobu pred spracovaním ohriať na izbovú teplotu (20°C). Pred použitím nádobku od počuteľného nárazu miešacích guličiek, intenzívne cca 2 minúty pretriasť. Pri označovaní podláh musí byť podklad bez oleja, tukov, prachu a voľných častíc. </w:t>
      </w:r>
      <w:r w:rsidR="005A3298">
        <w:t>CYKLON</w:t>
      </w:r>
      <w:r w:rsidRPr="00FB2D8E">
        <w:t xml:space="preserve"> </w:t>
      </w:r>
      <w:r>
        <w:t>Značkovaciu farbu naniesť tak, aby prekryla podklad. Pri značne nasiakavých a pórovitých podkladoch postup zopakovať. Pritom treba dbať na to, aby pred nanesením druhej vrstvy farby bola prvá vrstva vyschnutá.</w:t>
      </w:r>
    </w:p>
    <w:p w:rsidR="00375E04" w:rsidRDefault="00375E04" w:rsidP="00375E04">
      <w:pPr>
        <w:rPr>
          <w:rFonts w:ascii="Century Gothic" w:hAnsi="Century Gothic" w:cs="Courier New"/>
          <w:sz w:val="20"/>
          <w:szCs w:val="20"/>
        </w:rPr>
      </w:pPr>
    </w:p>
    <w:p w:rsidR="00375E04" w:rsidRDefault="00375E04" w:rsidP="00375E04">
      <w:pPr>
        <w:pStyle w:val="Nadpis1"/>
      </w:pPr>
      <w:r>
        <w:t>Osobitné upozornenia</w:t>
      </w:r>
    </w:p>
    <w:p w:rsidR="00375E04" w:rsidRDefault="00375E04" w:rsidP="00375E04">
      <w:pPr>
        <w:rPr>
          <w:rFonts w:ascii="Century Gothic" w:hAnsi="Century Gothic" w:cs="Courier New"/>
          <w:sz w:val="20"/>
          <w:szCs w:val="20"/>
        </w:rPr>
      </w:pPr>
    </w:p>
    <w:p w:rsidR="00375E04" w:rsidRDefault="005A3298" w:rsidP="00375E04">
      <w:r>
        <w:t>CYKLON</w:t>
      </w:r>
      <w:r w:rsidR="00375E04" w:rsidRPr="00FB2D8E">
        <w:t xml:space="preserve"> </w:t>
      </w:r>
      <w:r w:rsidR="00375E04">
        <w:t>Značkovacia farba obsahuje horľavé komponenty. Používať len v dobre vetraných priestoroch. Uchovávať ďaleko od zápalných zdrojov. Pri spotrebe viacerých obalových nádobiek na jednom mieste vzniká nebezpečenstvo tvorby výbušných zmesí plynu / vzduchu. Pri práci nefajčiť, nejesť ani nepiť.</w:t>
      </w:r>
    </w:p>
    <w:p w:rsidR="00375E04" w:rsidRPr="00FB2D8E" w:rsidRDefault="00375E04" w:rsidP="00375E04">
      <w:pPr>
        <w:pStyle w:val="Zkladntext2"/>
        <w:rPr>
          <w:rFonts w:ascii="Century Gothic" w:hAnsi="Century Gothic" w:cs="Courier New"/>
          <w:sz w:val="20"/>
          <w:lang w:val="sk-SK"/>
        </w:rPr>
      </w:pPr>
    </w:p>
    <w:p w:rsidR="00375E04" w:rsidRPr="00FB2D8E" w:rsidRDefault="00375E04" w:rsidP="00375E04">
      <w:pPr>
        <w:pStyle w:val="Nadpis1"/>
        <w:rPr>
          <w:bCs/>
        </w:rPr>
      </w:pPr>
      <w:r w:rsidRPr="00FB2D8E">
        <w:t>Skladovanie a trvanlivosť</w:t>
      </w:r>
    </w:p>
    <w:p w:rsidR="00375E04" w:rsidRDefault="00375E04" w:rsidP="00375E04">
      <w:pPr>
        <w:pStyle w:val="Zkladntext2"/>
        <w:jc w:val="both"/>
        <w:rPr>
          <w:rFonts w:ascii="Century Gothic" w:hAnsi="Century Gothic" w:cs="Courier New"/>
          <w:b w:val="0"/>
          <w:bCs w:val="0"/>
          <w:sz w:val="20"/>
          <w:lang w:val="sk-SK"/>
        </w:rPr>
      </w:pPr>
    </w:p>
    <w:p w:rsidR="00A62B84" w:rsidRPr="00A82AB4" w:rsidRDefault="00375E04" w:rsidP="00375E04">
      <w:r w:rsidRPr="00FB2D8E">
        <w:t xml:space="preserve">V prípade skladovania v originálnom neotvorenom balení a skladovacej teplote od </w:t>
      </w:r>
      <w:r>
        <w:t>-</w:t>
      </w:r>
      <w:r w:rsidRPr="00FB2D8E">
        <w:t>5°C do +</w:t>
      </w:r>
      <w:r>
        <w:t>3</w:t>
      </w:r>
      <w:r w:rsidRPr="00FB2D8E">
        <w:t xml:space="preserve">0°C zaručujeme trvanlivosť </w:t>
      </w:r>
      <w:r>
        <w:t>60</w:t>
      </w:r>
      <w:r w:rsidRPr="00FB2D8E">
        <w:t xml:space="preserve"> mesiacov.</w:t>
      </w:r>
      <w:bookmarkStart w:id="0" w:name="_GoBack"/>
      <w:bookmarkEnd w:id="0"/>
    </w:p>
    <w:sectPr w:rsidR="00A62B84" w:rsidRPr="00A82AB4" w:rsidSect="005A3298">
      <w:headerReference w:type="default" r:id="rId8"/>
      <w:footerReference w:type="default" r:id="rId9"/>
      <w:pgSz w:w="11906" w:h="16838"/>
      <w:pgMar w:top="1135" w:right="1417" w:bottom="1276" w:left="1417" w:header="376"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4FD" w:rsidRDefault="00AB04FD" w:rsidP="00336838">
      <w:r>
        <w:separator/>
      </w:r>
    </w:p>
  </w:endnote>
  <w:endnote w:type="continuationSeparator" w:id="0">
    <w:p w:rsidR="00AB04FD" w:rsidRDefault="00AB04FD"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2C79AC">
      <w:rPr>
        <w:noProof/>
        <w:sz w:val="20"/>
        <w:szCs w:val="20"/>
      </w:rPr>
      <w:drawing>
        <wp:inline distT="0" distB="0" distL="0" distR="0">
          <wp:extent cx="1422400" cy="725805"/>
          <wp:effectExtent l="0" t="0" r="0" b="0"/>
          <wp:docPr id="2" name="Obrázok 1" descr="is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725805"/>
                  </a:xfrm>
                  <a:prstGeom prst="rect">
                    <a:avLst/>
                  </a:prstGeom>
                  <a:noFill/>
                  <a:ln>
                    <a:noFill/>
                  </a:ln>
                </pic:spPr>
              </pic:pic>
            </a:graphicData>
          </a:graphic>
        </wp:inline>
      </w:drawing>
    </w:r>
    <w:r>
      <w:rPr>
        <w:sz w:val="20"/>
        <w:szCs w:val="20"/>
        <w:lang w:val="en-GB"/>
      </w:rPr>
      <w:tab/>
    </w:r>
  </w:p>
  <w:p w:rsidR="00336838" w:rsidRDefault="002C79AC" w:rsidP="00125A35">
    <w:pPr>
      <w:rPr>
        <w:b/>
        <w:vertAlign w:val="superscript"/>
        <w:lang w:val="en-GB"/>
      </w:rPr>
    </w:pPr>
    <w:r>
      <w:rPr>
        <w:b/>
        <w:noProof/>
        <w:vertAlign w:val="superscript"/>
      </w:rPr>
      <mc:AlternateContent>
        <mc:Choice Requires="wps">
          <w:drawing>
            <wp:anchor distT="0" distB="0" distL="114300" distR="114300" simplePos="0" relativeHeight="251658240" behindDoc="0" locked="0" layoutInCell="1" allowOverlap="1">
              <wp:simplePos x="0" y="0"/>
              <wp:positionH relativeFrom="column">
                <wp:posOffset>-300355</wp:posOffset>
              </wp:positionH>
              <wp:positionV relativeFrom="paragraph">
                <wp:posOffset>158750</wp:posOffset>
              </wp:positionV>
              <wp:extent cx="6412865" cy="0"/>
              <wp:effectExtent l="0" t="0" r="635"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43C9C4" id="_x0000_t32" coordsize="21600,21600" o:spt="32" o:oned="t" path="m,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" strokeweight=".25pt">
              <o:lock v:ext="edit" shapetype="f"/>
            </v:shape>
          </w:pict>
        </mc:Fallback>
      </mc:AlternateContent>
    </w:r>
  </w:p>
  <w:p w:rsidR="00A62B84" w:rsidRDefault="00A62B84" w:rsidP="00125A35">
    <w:pPr>
      <w:jc w:val="center"/>
      <w:rPr>
        <w:rFonts w:ascii="Tahoma" w:hAnsi="Tahoma" w:cs="Tahoma"/>
        <w:b/>
        <w:sz w:val="18"/>
        <w:szCs w:val="18"/>
        <w:lang w:val="en-GB"/>
      </w:rPr>
    </w:pPr>
  </w:p>
  <w:p w:rsidR="00051D73" w:rsidRPr="00BC4C9A" w:rsidRDefault="00051D73" w:rsidP="00051D73">
    <w:pPr>
      <w:jc w:val="center"/>
      <w:rPr>
        <w:b/>
      </w:rPr>
    </w:pPr>
    <w:r w:rsidRPr="00BC4C9A">
      <w:rPr>
        <w:b/>
      </w:rPr>
      <w:t xml:space="preserve">GYNEX - CHEMALEX spol. </w:t>
    </w:r>
    <w:proofErr w:type="spellStart"/>
    <w:r w:rsidRPr="00BC4C9A">
      <w:rPr>
        <w:b/>
      </w:rPr>
      <w:t>s.r.o</w:t>
    </w:r>
    <w:proofErr w:type="spellEnd"/>
    <w:r w:rsidRPr="00BC4C9A">
      <w:rPr>
        <w:b/>
      </w:rPr>
      <w:t>.</w:t>
    </w:r>
  </w:p>
  <w:p w:rsidR="00051D73" w:rsidRPr="00BC4C9A" w:rsidRDefault="00051D73" w:rsidP="00051D73">
    <w:pPr>
      <w:jc w:val="center"/>
      <w:rPr>
        <w:sz w:val="18"/>
      </w:rPr>
    </w:pPr>
    <w:r w:rsidRPr="00BC4C9A">
      <w:rPr>
        <w:sz w:val="18"/>
      </w:rPr>
      <w:t>Na Lánoch 3298/10, 821 04 Bratislava, Slovenská republika, Tel.: +412 905 568 121</w:t>
    </w:r>
  </w:p>
  <w:p w:rsidR="00336838" w:rsidRPr="00051D73" w:rsidRDefault="00051D73" w:rsidP="00051D73">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4FD" w:rsidRDefault="00AB04FD" w:rsidP="00336838">
      <w:r>
        <w:separator/>
      </w:r>
    </w:p>
  </w:footnote>
  <w:footnote w:type="continuationSeparator" w:id="0">
    <w:p w:rsidR="00AB04FD" w:rsidRDefault="00AB04FD"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5A3298" w:rsidP="005A3298">
    <w:pPr>
      <w:pStyle w:val="Hlavika"/>
      <w:jc w:val="center"/>
    </w:pPr>
    <w:r>
      <w:rPr>
        <w:noProof/>
      </w:rPr>
      <w:drawing>
        <wp:inline distT="0" distB="0" distL="0" distR="0">
          <wp:extent cx="2434975" cy="708859"/>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2468830" cy="7187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384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8A9414D"/>
    <w:multiLevelType w:val="hybridMultilevel"/>
    <w:tmpl w:val="D6481806"/>
    <w:lvl w:ilvl="0" w:tplc="2B745BDE">
      <w:start w:val="1"/>
      <w:numFmt w:val="bullet"/>
      <w:lvlText w:val=""/>
      <w:lvlJc w:val="left"/>
      <w:pPr>
        <w:tabs>
          <w:tab w:val="num" w:pos="720"/>
        </w:tabs>
        <w:ind w:left="567" w:hanging="56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AA00026"/>
    <w:multiLevelType w:val="hybridMultilevel"/>
    <w:tmpl w:val="B032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35E2F85"/>
    <w:multiLevelType w:val="hybridMultilevel"/>
    <w:tmpl w:val="6AB0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F6177F"/>
    <w:multiLevelType w:val="hybridMultilevel"/>
    <w:tmpl w:val="47863212"/>
    <w:lvl w:ilvl="0" w:tplc="C50838F4">
      <w:start w:val="1"/>
      <w:numFmt w:val="bullet"/>
      <w:lvlText w:val=""/>
      <w:lvlJc w:val="left"/>
      <w:pPr>
        <w:tabs>
          <w:tab w:val="num" w:pos="720"/>
        </w:tabs>
        <w:ind w:left="567" w:hanging="567"/>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4"/>
  </w:num>
  <w:num w:numId="5">
    <w:abstractNumId w:val="8"/>
  </w:num>
  <w:num w:numId="6">
    <w:abstractNumId w:val="3"/>
  </w:num>
  <w:num w:numId="7">
    <w:abstractNumId w:val="0"/>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AAB"/>
    <w:rsid w:val="000042DB"/>
    <w:rsid w:val="000226F7"/>
    <w:rsid w:val="00051D73"/>
    <w:rsid w:val="00077255"/>
    <w:rsid w:val="00125A35"/>
    <w:rsid w:val="0019406F"/>
    <w:rsid w:val="00196EE0"/>
    <w:rsid w:val="001B7EA3"/>
    <w:rsid w:val="001D10C1"/>
    <w:rsid w:val="001D1DA7"/>
    <w:rsid w:val="00272BBB"/>
    <w:rsid w:val="002B5628"/>
    <w:rsid w:val="002C2992"/>
    <w:rsid w:val="002C79AC"/>
    <w:rsid w:val="002F7F8A"/>
    <w:rsid w:val="00336838"/>
    <w:rsid w:val="00352430"/>
    <w:rsid w:val="00357F95"/>
    <w:rsid w:val="00366B8E"/>
    <w:rsid w:val="00375E04"/>
    <w:rsid w:val="003938A8"/>
    <w:rsid w:val="003A0CF0"/>
    <w:rsid w:val="003C55B1"/>
    <w:rsid w:val="003D63C0"/>
    <w:rsid w:val="00407C26"/>
    <w:rsid w:val="004201CE"/>
    <w:rsid w:val="004650F4"/>
    <w:rsid w:val="00477F65"/>
    <w:rsid w:val="004C08F3"/>
    <w:rsid w:val="004F6388"/>
    <w:rsid w:val="005A3298"/>
    <w:rsid w:val="005E4D31"/>
    <w:rsid w:val="00631894"/>
    <w:rsid w:val="006718EA"/>
    <w:rsid w:val="006922E0"/>
    <w:rsid w:val="006F00DF"/>
    <w:rsid w:val="00741F0B"/>
    <w:rsid w:val="00775E72"/>
    <w:rsid w:val="0077797C"/>
    <w:rsid w:val="007957AA"/>
    <w:rsid w:val="007F37CE"/>
    <w:rsid w:val="00821E55"/>
    <w:rsid w:val="00887099"/>
    <w:rsid w:val="00946E36"/>
    <w:rsid w:val="00997F43"/>
    <w:rsid w:val="009A0E38"/>
    <w:rsid w:val="00A62B84"/>
    <w:rsid w:val="00A82AB4"/>
    <w:rsid w:val="00A87AB7"/>
    <w:rsid w:val="00A91082"/>
    <w:rsid w:val="00AB04FD"/>
    <w:rsid w:val="00AB4D47"/>
    <w:rsid w:val="00AC5272"/>
    <w:rsid w:val="00B163E9"/>
    <w:rsid w:val="00B3258D"/>
    <w:rsid w:val="00B41D5A"/>
    <w:rsid w:val="00BB6AAB"/>
    <w:rsid w:val="00BF748F"/>
    <w:rsid w:val="00C06A1E"/>
    <w:rsid w:val="00C613B1"/>
    <w:rsid w:val="00D315D0"/>
    <w:rsid w:val="00DA1608"/>
    <w:rsid w:val="00DB1208"/>
    <w:rsid w:val="00DB5448"/>
    <w:rsid w:val="00DF3DFA"/>
    <w:rsid w:val="00E23741"/>
    <w:rsid w:val="00E57134"/>
    <w:rsid w:val="00E73240"/>
    <w:rsid w:val="00E84BD6"/>
    <w:rsid w:val="00F0200E"/>
    <w:rsid w:val="00F15373"/>
    <w:rsid w:val="00F26D1C"/>
    <w:rsid w:val="00FB3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9154735-7DFF-EE4B-B6FB-E54FA777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qFormat/>
    <w:rsid w:val="00AB4D47"/>
    <w:pPr>
      <w:keepNext/>
      <w:keepLines/>
      <w:spacing w:before="40" w:line="259" w:lineRule="auto"/>
      <w:outlineLvl w:val="2"/>
    </w:pPr>
    <w:rPr>
      <w:rFonts w:ascii="Calibri Light" w:hAnsi="Calibri Light"/>
      <w:color w:val="1F4D78"/>
      <w:lang w:eastAsia="en-US"/>
    </w:rPr>
  </w:style>
  <w:style w:type="paragraph" w:styleId="Nadpis5">
    <w:name w:val="heading 5"/>
    <w:basedOn w:val="Normlny"/>
    <w:next w:val="Normlny"/>
    <w:link w:val="Nadpis5Char"/>
    <w:qFormat/>
    <w:rsid w:val="00375E04"/>
    <w:pPr>
      <w:spacing w:before="240" w:after="60"/>
      <w:outlineLvl w:val="4"/>
    </w:pPr>
    <w:rPr>
      <w:rFonts w:ascii="Calibri" w:hAnsi="Calibri"/>
      <w:b/>
      <w:bCs/>
      <w:i/>
      <w:iCs/>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 w:type="character" w:customStyle="1" w:styleId="Nadpis5Char">
    <w:name w:val="Nadpis 5 Char"/>
    <w:link w:val="Nadpis5"/>
    <w:semiHidden/>
    <w:rsid w:val="00375E04"/>
    <w:rPr>
      <w:rFonts w:ascii="Calibri" w:eastAsia="Times New Roman" w:hAnsi="Calibri" w:cs="Times New Roman"/>
      <w:b/>
      <w:bCs/>
      <w:i/>
      <w:iCs/>
      <w:sz w:val="26"/>
      <w:szCs w:val="26"/>
      <w:lang w:val="sk-SK" w:eastAsia="sk-SK"/>
    </w:rPr>
  </w:style>
  <w:style w:type="paragraph" w:styleId="Zkladntext2">
    <w:name w:val="Body Text 2"/>
    <w:basedOn w:val="Normlny"/>
    <w:link w:val="Zkladntext2Char"/>
    <w:rsid w:val="00375E04"/>
    <w:pPr>
      <w:jc w:val="left"/>
    </w:pPr>
    <w:rPr>
      <w:rFonts w:ascii="Arial" w:hAnsi="Arial" w:cs="Arial"/>
      <w:b/>
      <w:bCs/>
      <w:sz w:val="16"/>
      <w:szCs w:val="20"/>
      <w:lang w:val="de-DE" w:eastAsia="de-DE"/>
    </w:rPr>
  </w:style>
  <w:style w:type="character" w:customStyle="1" w:styleId="Zkladntext2Char">
    <w:name w:val="Základný text 2 Char"/>
    <w:link w:val="Zkladntext2"/>
    <w:rsid w:val="00375E04"/>
    <w:rPr>
      <w:rFonts w:ascii="Arial" w:hAnsi="Arial" w:cs="Arial"/>
      <w:b/>
      <w:bCs/>
      <w:sz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6699E-06AA-46F8-9562-92066E9B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XX</Company>
  <LinksUpToDate>false</LinksUpToDate>
  <CharactersWithSpaces>1650</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8614</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6</cp:revision>
  <cp:lastPrinted>2016-02-27T13:50:00Z</cp:lastPrinted>
  <dcterms:created xsi:type="dcterms:W3CDTF">2019-06-04T07:03:00Z</dcterms:created>
  <dcterms:modified xsi:type="dcterms:W3CDTF">2022-12-18T17:41:00Z</dcterms:modified>
</cp:coreProperties>
</file>