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95" w:rsidRPr="00A82AB4" w:rsidRDefault="00E43A87">
      <w:pPr>
        <w:rPr>
          <w:sz w:val="40"/>
        </w:rPr>
      </w:pPr>
      <w:r>
        <w:rPr>
          <w:sz w:val="40"/>
        </w:rPr>
        <w:pict>
          <v:rect id="_x0000_s1026" alt="" style="position:absolute;left:0;text-align:left;margin-left:-1.8pt;margin-top:23.15pt;width:452.9pt;height:41.35pt;z-index:-1;mso-wrap-edited:f;mso-width-percent:0;mso-height-percent:0;mso-width-percent:0;mso-height-percent:0" fillcolor="#cfcdcd" stroked="f" strokecolor="#f2f2f2" strokeweight="3pt">
            <v:shadow type="perspective" color="#823b0b" opacity=".5" offset="1pt" offset2="-1pt"/>
          </v:rect>
        </w:pict>
      </w:r>
    </w:p>
    <w:p w:rsidR="00AB4D47" w:rsidRPr="00A82AB4" w:rsidRDefault="00F15373" w:rsidP="00E84BD6">
      <w:pPr>
        <w:tabs>
          <w:tab w:val="right" w:pos="8647"/>
        </w:tabs>
        <w:ind w:left="142"/>
        <w:rPr>
          <w:b/>
          <w:sz w:val="32"/>
        </w:rPr>
      </w:pPr>
      <w:r w:rsidRPr="00A82AB4">
        <w:rPr>
          <w:sz w:val="40"/>
        </w:rPr>
        <w:t>Technic</w:t>
      </w:r>
      <w:r w:rsidR="00A82AB4" w:rsidRPr="00A82AB4">
        <w:rPr>
          <w:sz w:val="40"/>
        </w:rPr>
        <w:t>ký list</w:t>
      </w:r>
      <w:r w:rsidR="00357F95" w:rsidRPr="00A82AB4">
        <w:rPr>
          <w:sz w:val="40"/>
        </w:rPr>
        <w:t>:</w:t>
      </w:r>
      <w:r w:rsidR="00E57134">
        <w:rPr>
          <w:sz w:val="40"/>
        </w:rPr>
        <w:tab/>
      </w:r>
      <w:r w:rsidR="008A7F3A">
        <w:rPr>
          <w:b/>
          <w:sz w:val="32"/>
        </w:rPr>
        <w:t>CYKLON</w:t>
      </w:r>
      <w:r w:rsidRPr="00A82AB4">
        <w:rPr>
          <w:b/>
          <w:sz w:val="32"/>
        </w:rPr>
        <w:t xml:space="preserve"> </w:t>
      </w:r>
      <w:r w:rsidR="00D13F75">
        <w:rPr>
          <w:b/>
          <w:sz w:val="32"/>
        </w:rPr>
        <w:t>Základná farba</w:t>
      </w:r>
    </w:p>
    <w:p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8A7F3A">
        <w:rPr>
          <w:sz w:val="20"/>
          <w:szCs w:val="20"/>
        </w:rPr>
        <w:t>1904401, 1907801</w:t>
      </w:r>
    </w:p>
    <w:p w:rsidR="00F15373" w:rsidRPr="00A82AB4" w:rsidRDefault="00F15373" w:rsidP="00F15373">
      <w:pPr>
        <w:pStyle w:val="Nadpis1"/>
        <w:rPr>
          <w:lang w:val="sk-SK"/>
        </w:rPr>
      </w:pPr>
    </w:p>
    <w:p w:rsidR="00D13F75" w:rsidRPr="00D13F75" w:rsidRDefault="008A7F3A" w:rsidP="00D13F75">
      <w:pPr>
        <w:rPr>
          <w:sz w:val="20"/>
          <w:szCs w:val="20"/>
        </w:rPr>
      </w:pPr>
      <w:r>
        <w:rPr>
          <w:b/>
          <w:sz w:val="20"/>
          <w:szCs w:val="20"/>
        </w:rPr>
        <w:t>CYKLON</w:t>
      </w:r>
      <w:r w:rsidR="00D13F75" w:rsidRPr="00D13F75">
        <w:rPr>
          <w:b/>
          <w:sz w:val="20"/>
          <w:szCs w:val="20"/>
        </w:rPr>
        <w:t xml:space="preserve"> Základná farba</w:t>
      </w:r>
      <w:r w:rsidR="00D13F75" w:rsidRPr="00D13F75">
        <w:rPr>
          <w:sz w:val="20"/>
          <w:szCs w:val="20"/>
        </w:rPr>
        <w:t xml:space="preserve"> je </w:t>
      </w:r>
      <w:proofErr w:type="spellStart"/>
      <w:r w:rsidR="00D13F75" w:rsidRPr="00D13F75">
        <w:rPr>
          <w:sz w:val="20"/>
          <w:szCs w:val="20"/>
        </w:rPr>
        <w:t>rýchloschnúci</w:t>
      </w:r>
      <w:proofErr w:type="spellEnd"/>
      <w:r w:rsidR="00D13F75" w:rsidRPr="00D13F75">
        <w:rPr>
          <w:sz w:val="20"/>
          <w:szCs w:val="20"/>
        </w:rPr>
        <w:t xml:space="preserve"> základ, chrániaci pred koróziou, na báze </w:t>
      </w:r>
      <w:r>
        <w:rPr>
          <w:sz w:val="20"/>
          <w:szCs w:val="20"/>
        </w:rPr>
        <w:t>n</w:t>
      </w:r>
      <w:r w:rsidR="00D13F75" w:rsidRPr="00D13F75">
        <w:rPr>
          <w:sz w:val="20"/>
          <w:szCs w:val="20"/>
        </w:rPr>
        <w:t>itro</w:t>
      </w:r>
      <w:r>
        <w:rPr>
          <w:sz w:val="20"/>
          <w:szCs w:val="20"/>
        </w:rPr>
        <w:t>c</w:t>
      </w:r>
      <w:r w:rsidR="00D13F75" w:rsidRPr="00D13F75">
        <w:rPr>
          <w:sz w:val="20"/>
          <w:szCs w:val="20"/>
        </w:rPr>
        <w:t xml:space="preserve">elulózy. Vďaka obsiahnutým väzbovým látkam a pigmentácii výrazne chráni pred koróziou. Náterom </w:t>
      </w:r>
      <w:r>
        <w:rPr>
          <w:sz w:val="20"/>
          <w:szCs w:val="20"/>
        </w:rPr>
        <w:t>CYKLON</w:t>
      </w:r>
      <w:r w:rsidR="00D13F75" w:rsidRPr="00D13F75">
        <w:rPr>
          <w:sz w:val="20"/>
          <w:szCs w:val="20"/>
        </w:rPr>
        <w:t xml:space="preserve"> Základná farba sa získa vrstva s elasticitou a odolnosťou voči poškriabaniu.  </w:t>
      </w:r>
    </w:p>
    <w:p w:rsidR="00D13F75" w:rsidRPr="00980B72" w:rsidRDefault="00D13F75" w:rsidP="00D13F75"/>
    <w:p w:rsidR="00D13F75" w:rsidRPr="00575E28" w:rsidRDefault="00D13F75" w:rsidP="00D13F75">
      <w:pPr>
        <w:pStyle w:val="Nadpis1"/>
        <w:rPr>
          <w:lang w:val="sk-SK"/>
        </w:rPr>
      </w:pPr>
      <w:r w:rsidRPr="00575E28">
        <w:rPr>
          <w:lang w:val="sk-SK"/>
        </w:rPr>
        <w:t xml:space="preserve">Oblasti použitia  </w:t>
      </w:r>
    </w:p>
    <w:p w:rsidR="00D13F75" w:rsidRDefault="00D13F75" w:rsidP="00D13F75"/>
    <w:p w:rsidR="00D13F75" w:rsidRPr="00D13F75" w:rsidRDefault="008A7F3A" w:rsidP="00D13F75">
      <w:pPr>
        <w:rPr>
          <w:sz w:val="20"/>
          <w:szCs w:val="20"/>
        </w:rPr>
      </w:pPr>
      <w:r>
        <w:rPr>
          <w:sz w:val="20"/>
          <w:szCs w:val="20"/>
        </w:rPr>
        <w:t>CYKLON</w:t>
      </w:r>
      <w:r w:rsidR="00D13F75" w:rsidRPr="00D13F75">
        <w:rPr>
          <w:sz w:val="20"/>
          <w:szCs w:val="20"/>
        </w:rPr>
        <w:t xml:space="preserve"> Základná farba  nájde uplatnenie v oceliarskom a inštalačnom stavebníctve, vo výstavbe strojov, lodí, prístrojov, karosérií, nádrží a v remeselnej výrobe. Môže sa nanášať na všetky ocele, železá, liatiny - v interiéri aj v exteriéri. Náterom </w:t>
      </w:r>
      <w:r>
        <w:rPr>
          <w:sz w:val="20"/>
          <w:szCs w:val="20"/>
        </w:rPr>
        <w:t>CYKLON</w:t>
      </w:r>
      <w:r w:rsidR="00D13F75" w:rsidRPr="00D13F75">
        <w:rPr>
          <w:sz w:val="20"/>
          <w:szCs w:val="20"/>
        </w:rPr>
        <w:t xml:space="preserve"> Základná farba sa výrazne zlepší priľnavosť ďalšieho povrchového lakovania. Aj vlastnosti povrchu sa stanú jemne pórovité s hladkým povrchom. </w:t>
      </w:r>
      <w:r>
        <w:rPr>
          <w:sz w:val="20"/>
          <w:szCs w:val="20"/>
        </w:rPr>
        <w:t>CYKLON</w:t>
      </w:r>
      <w:r w:rsidR="00D13F75" w:rsidRPr="00D13F75">
        <w:rPr>
          <w:sz w:val="20"/>
          <w:szCs w:val="20"/>
        </w:rPr>
        <w:t xml:space="preserve"> Základná farba je zvárateľná bez vzniku jedovatých výparov. Ako povrchový lak sú vhodné všetky 1K-Laky .</w:t>
      </w:r>
    </w:p>
    <w:p w:rsidR="00D13F75" w:rsidRPr="00980B72" w:rsidRDefault="00D13F75" w:rsidP="00D13F75"/>
    <w:p w:rsidR="00D13F75" w:rsidRPr="00D13F75" w:rsidRDefault="00D13F75" w:rsidP="00D13F75">
      <w:pPr>
        <w:pStyle w:val="Nadpis1"/>
        <w:rPr>
          <w:lang w:val="sk-SK"/>
        </w:rPr>
      </w:pPr>
      <w:r w:rsidRPr="00D13F75">
        <w:rPr>
          <w:lang w:val="sk-SK"/>
        </w:rPr>
        <w:t>Vlastnosti produktu</w:t>
      </w:r>
    </w:p>
    <w:p w:rsidR="00D13F75" w:rsidRPr="00D13F75" w:rsidRDefault="00D13F75" w:rsidP="00D13F75"/>
    <w:p w:rsidR="00D13F75" w:rsidRPr="00D13F75" w:rsidRDefault="00D13F75" w:rsidP="00D13F75">
      <w:pPr>
        <w:numPr>
          <w:ilvl w:val="0"/>
          <w:numId w:val="8"/>
        </w:numPr>
        <w:jc w:val="left"/>
        <w:rPr>
          <w:sz w:val="20"/>
          <w:szCs w:val="20"/>
        </w:rPr>
      </w:pPr>
      <w:r w:rsidRPr="00D13F75">
        <w:rPr>
          <w:sz w:val="20"/>
          <w:szCs w:val="20"/>
        </w:rPr>
        <w:t>priľnavosť takmer na všetky kovy</w:t>
      </w:r>
    </w:p>
    <w:p w:rsidR="00D13F75" w:rsidRPr="00D13F75" w:rsidRDefault="00D13F75" w:rsidP="00D13F75">
      <w:pPr>
        <w:numPr>
          <w:ilvl w:val="0"/>
          <w:numId w:val="8"/>
        </w:numPr>
        <w:jc w:val="left"/>
        <w:rPr>
          <w:sz w:val="20"/>
          <w:szCs w:val="20"/>
        </w:rPr>
      </w:pPr>
      <w:proofErr w:type="spellStart"/>
      <w:r w:rsidRPr="00D13F75">
        <w:rPr>
          <w:sz w:val="20"/>
          <w:szCs w:val="20"/>
        </w:rPr>
        <w:t>prelakovateľná</w:t>
      </w:r>
      <w:proofErr w:type="spellEnd"/>
    </w:p>
    <w:p w:rsidR="00D13F75" w:rsidRPr="00D13F75" w:rsidRDefault="00D13F75" w:rsidP="00D13F75">
      <w:pPr>
        <w:numPr>
          <w:ilvl w:val="0"/>
          <w:numId w:val="8"/>
        </w:numPr>
        <w:jc w:val="left"/>
        <w:rPr>
          <w:sz w:val="20"/>
          <w:szCs w:val="20"/>
        </w:rPr>
      </w:pPr>
      <w:proofErr w:type="spellStart"/>
      <w:r w:rsidRPr="00D13F75">
        <w:rPr>
          <w:sz w:val="20"/>
          <w:szCs w:val="20"/>
        </w:rPr>
        <w:t>rýchloschnúca</w:t>
      </w:r>
      <w:proofErr w:type="spellEnd"/>
    </w:p>
    <w:p w:rsidR="00D13F75" w:rsidRPr="00D13F75" w:rsidRDefault="00D13F75" w:rsidP="00D13F75">
      <w:pPr>
        <w:numPr>
          <w:ilvl w:val="0"/>
          <w:numId w:val="8"/>
        </w:numPr>
        <w:jc w:val="left"/>
        <w:rPr>
          <w:sz w:val="20"/>
          <w:szCs w:val="20"/>
        </w:rPr>
      </w:pPr>
      <w:r w:rsidRPr="00D13F75">
        <w:rPr>
          <w:sz w:val="20"/>
          <w:szCs w:val="20"/>
        </w:rPr>
        <w:t>zlepšuje povrchové vlastnosti následného povrchového lakovania</w:t>
      </w:r>
    </w:p>
    <w:p w:rsidR="00D13F75" w:rsidRPr="00D13F75" w:rsidRDefault="00D13F75" w:rsidP="00D13F75">
      <w:pPr>
        <w:numPr>
          <w:ilvl w:val="0"/>
          <w:numId w:val="8"/>
        </w:numPr>
        <w:jc w:val="left"/>
        <w:rPr>
          <w:sz w:val="20"/>
          <w:szCs w:val="20"/>
        </w:rPr>
      </w:pPr>
      <w:r w:rsidRPr="00D13F75">
        <w:rPr>
          <w:sz w:val="20"/>
          <w:szCs w:val="20"/>
        </w:rPr>
        <w:t>ošetrené časti sú lepšie chránené pred hrdzou</w:t>
      </w:r>
    </w:p>
    <w:p w:rsidR="00D13F75" w:rsidRPr="00D13F75" w:rsidRDefault="00D13F75" w:rsidP="00D13F75">
      <w:pPr>
        <w:numPr>
          <w:ilvl w:val="0"/>
          <w:numId w:val="8"/>
        </w:numPr>
        <w:jc w:val="left"/>
        <w:rPr>
          <w:sz w:val="20"/>
          <w:szCs w:val="20"/>
        </w:rPr>
      </w:pPr>
      <w:r w:rsidRPr="00D13F75">
        <w:rPr>
          <w:sz w:val="20"/>
          <w:szCs w:val="20"/>
        </w:rPr>
        <w:t>výrazne zlepšuje priľnavosť následného povrchového lakovania</w:t>
      </w:r>
    </w:p>
    <w:p w:rsidR="00D13F75" w:rsidRPr="00980B72" w:rsidRDefault="00D13F75" w:rsidP="00D13F75"/>
    <w:p w:rsidR="00D13F75" w:rsidRPr="00D13F75" w:rsidRDefault="00D13F75" w:rsidP="00D13F75">
      <w:pPr>
        <w:pStyle w:val="Nadpis1"/>
        <w:rPr>
          <w:bCs/>
          <w:lang w:val="sk-SK"/>
        </w:rPr>
      </w:pPr>
      <w:r w:rsidRPr="00D13F75">
        <w:rPr>
          <w:bCs/>
          <w:lang w:val="sk-SK"/>
        </w:rPr>
        <w:t>Informácie o spracovaní</w:t>
      </w:r>
    </w:p>
    <w:p w:rsidR="00D13F75" w:rsidRDefault="00D13F75" w:rsidP="00D13F75">
      <w:pPr>
        <w:rPr>
          <w:u w:val="single"/>
        </w:rPr>
      </w:pPr>
    </w:p>
    <w:p w:rsidR="00D13F75" w:rsidRPr="00D13F75" w:rsidRDefault="00D13F75" w:rsidP="00D13F75">
      <w:pPr>
        <w:rPr>
          <w:sz w:val="20"/>
          <w:szCs w:val="20"/>
        </w:rPr>
      </w:pPr>
      <w:r w:rsidRPr="00D13F75">
        <w:rPr>
          <w:sz w:val="20"/>
          <w:szCs w:val="20"/>
          <w:u w:val="single"/>
        </w:rPr>
        <w:t>Ošetrenie podkladu:</w:t>
      </w:r>
      <w:r w:rsidRPr="00D13F75">
        <w:rPr>
          <w:sz w:val="20"/>
          <w:szCs w:val="20"/>
        </w:rPr>
        <w:t xml:space="preserve"> Podklad musí byť suchý, bez prachu a mastnôt, bez hrdze. Priľnavosť sa zvýši ľahkým obrúsením lakovanej plochy. Veľmi dôležité je zistiť, či bola povrchová valcovacia kôra kompletne odstránená. Lakované časti by mali mať izbovú teplotu. Materiál by sa nemal spracovávať pri teplote nižšej ako +5°C a vlhkosti vzduchu nad 80%. Kovové časti teplejšie ako +30°C by sa nemali povrchovo upravovať.</w:t>
      </w:r>
    </w:p>
    <w:p w:rsidR="00D13F75" w:rsidRPr="00D13F75" w:rsidRDefault="00D13F75" w:rsidP="00D13F75">
      <w:pPr>
        <w:rPr>
          <w:sz w:val="20"/>
          <w:szCs w:val="20"/>
        </w:rPr>
      </w:pPr>
      <w:r w:rsidRPr="00D13F75">
        <w:rPr>
          <w:sz w:val="20"/>
          <w:szCs w:val="20"/>
          <w:u w:val="single"/>
        </w:rPr>
        <w:t>Použitie:</w:t>
      </w:r>
      <w:r w:rsidRPr="00D13F75">
        <w:rPr>
          <w:sz w:val="20"/>
          <w:szCs w:val="20"/>
        </w:rPr>
        <w:t xml:space="preserve"> Nádobu priviesť do izbovej teploty a silno potriasť (minimálne 2 minúty po počuteľnom pohybe guľôčok). Optimálna celková hrúbka vrstvy je cca</w:t>
      </w:r>
      <w:r w:rsidR="008A7F3A">
        <w:rPr>
          <w:sz w:val="20"/>
          <w:szCs w:val="20"/>
        </w:rPr>
        <w:t xml:space="preserve"> </w:t>
      </w:r>
      <w:r w:rsidRPr="00D13F75">
        <w:rPr>
          <w:sz w:val="20"/>
          <w:szCs w:val="20"/>
        </w:rPr>
        <w:t>45 - 65 µm, na jej dosiahnutie sa odporúča nanášanie tenkých vrstiev do kríža. Optimálna vzdialenosť nádoby od povrchu pri striekaní je medzi 25 a 30 cm.</w:t>
      </w:r>
    </w:p>
    <w:p w:rsidR="00D13F75" w:rsidRPr="00980B72" w:rsidRDefault="00D13F75" w:rsidP="00D13F75"/>
    <w:p w:rsidR="00D13F75" w:rsidRPr="00980B72" w:rsidRDefault="00D13F75" w:rsidP="00D13F75">
      <w:pPr>
        <w:rPr>
          <w:b/>
          <w:bCs/>
          <w:sz w:val="24"/>
        </w:rPr>
      </w:pPr>
      <w:r w:rsidRPr="00980B72">
        <w:rPr>
          <w:b/>
          <w:bCs/>
          <w:sz w:val="24"/>
        </w:rPr>
        <w:t>Technické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072"/>
      </w:tblGrid>
      <w:tr w:rsidR="00D13F75" w:rsidRPr="00D13F75" w:rsidTr="00046656">
        <w:tc>
          <w:tcPr>
            <w:tcW w:w="3070" w:type="dxa"/>
            <w:shd w:val="pct25" w:color="000000" w:fill="FFFFFF"/>
          </w:tcPr>
          <w:p w:rsidR="00D13F75" w:rsidRPr="00D13F75" w:rsidRDefault="00D13F75" w:rsidP="00046656">
            <w:pPr>
              <w:pStyle w:val="Nadpis2"/>
              <w:rPr>
                <w:bCs w:val="0"/>
                <w:sz w:val="20"/>
                <w:szCs w:val="20"/>
              </w:rPr>
            </w:pPr>
            <w:bookmarkStart w:id="0" w:name="_GoBack"/>
            <w:bookmarkEnd w:id="0"/>
            <w:r w:rsidRPr="00D13F75">
              <w:rPr>
                <w:bCs w:val="0"/>
                <w:sz w:val="20"/>
                <w:szCs w:val="20"/>
              </w:rPr>
              <w:t>Technické údaje</w:t>
            </w:r>
          </w:p>
        </w:tc>
        <w:tc>
          <w:tcPr>
            <w:tcW w:w="6072" w:type="dxa"/>
            <w:shd w:val="pct25" w:color="000000" w:fill="FFFFFF"/>
          </w:tcPr>
          <w:p w:rsidR="00D13F75" w:rsidRPr="00D13F75" w:rsidRDefault="00D13F75" w:rsidP="00046656">
            <w:pPr>
              <w:pStyle w:val="Nadpis2"/>
              <w:rPr>
                <w:bCs w:val="0"/>
                <w:sz w:val="20"/>
                <w:szCs w:val="20"/>
              </w:rPr>
            </w:pPr>
            <w:r w:rsidRPr="00D13F75">
              <w:rPr>
                <w:bCs w:val="0"/>
                <w:sz w:val="20"/>
                <w:szCs w:val="20"/>
              </w:rPr>
              <w:t>Požadovaná hodnota</w:t>
            </w:r>
          </w:p>
        </w:tc>
      </w:tr>
      <w:tr w:rsidR="00D13F75" w:rsidRPr="00D13F75" w:rsidTr="00046656">
        <w:tc>
          <w:tcPr>
            <w:tcW w:w="3070" w:type="dxa"/>
          </w:tcPr>
          <w:p w:rsidR="00D13F75" w:rsidRPr="00D13F75" w:rsidRDefault="00D13F75" w:rsidP="00046656">
            <w:pPr>
              <w:rPr>
                <w:sz w:val="20"/>
                <w:szCs w:val="20"/>
              </w:rPr>
            </w:pPr>
            <w:r w:rsidRPr="00D13F75">
              <w:rPr>
                <w:sz w:val="20"/>
                <w:szCs w:val="20"/>
              </w:rPr>
              <w:t xml:space="preserve">Schnutie pri 20°C: </w:t>
            </w:r>
          </w:p>
        </w:tc>
        <w:tc>
          <w:tcPr>
            <w:tcW w:w="6072" w:type="dxa"/>
          </w:tcPr>
          <w:p w:rsidR="00D13F75" w:rsidRPr="00D13F75" w:rsidRDefault="00D13F75" w:rsidP="00046656">
            <w:pPr>
              <w:rPr>
                <w:sz w:val="20"/>
                <w:szCs w:val="20"/>
              </w:rPr>
            </w:pPr>
            <w:r w:rsidRPr="00D13F75">
              <w:rPr>
                <w:sz w:val="20"/>
                <w:szCs w:val="20"/>
              </w:rPr>
              <w:t>cca. 10 min – nelepí sa prach</w:t>
            </w:r>
          </w:p>
        </w:tc>
      </w:tr>
      <w:tr w:rsidR="00D13F75" w:rsidRPr="00D13F75" w:rsidTr="00046656">
        <w:tc>
          <w:tcPr>
            <w:tcW w:w="3070" w:type="dxa"/>
          </w:tcPr>
          <w:p w:rsidR="00D13F75" w:rsidRPr="00D13F75" w:rsidRDefault="00D13F75" w:rsidP="00046656">
            <w:pPr>
              <w:rPr>
                <w:sz w:val="20"/>
                <w:szCs w:val="20"/>
              </w:rPr>
            </w:pPr>
            <w:r w:rsidRPr="00D13F75">
              <w:rPr>
                <w:sz w:val="20"/>
                <w:szCs w:val="20"/>
              </w:rPr>
              <w:t>Schnutie pri 20°C:</w:t>
            </w:r>
          </w:p>
        </w:tc>
        <w:tc>
          <w:tcPr>
            <w:tcW w:w="6072" w:type="dxa"/>
          </w:tcPr>
          <w:p w:rsidR="00D13F75" w:rsidRPr="00D13F75" w:rsidRDefault="00D13F75" w:rsidP="00046656">
            <w:pPr>
              <w:rPr>
                <w:sz w:val="20"/>
                <w:szCs w:val="20"/>
              </w:rPr>
            </w:pPr>
            <w:r w:rsidRPr="00D13F75">
              <w:rPr>
                <w:sz w:val="20"/>
                <w:szCs w:val="20"/>
              </w:rPr>
              <w:t>cca. 30 min – pevný na dotyk</w:t>
            </w:r>
          </w:p>
        </w:tc>
      </w:tr>
      <w:tr w:rsidR="00D13F75" w:rsidRPr="00D13F75" w:rsidTr="00046656">
        <w:tc>
          <w:tcPr>
            <w:tcW w:w="3070" w:type="dxa"/>
          </w:tcPr>
          <w:p w:rsidR="00D13F75" w:rsidRPr="00D13F75" w:rsidRDefault="00D13F75" w:rsidP="00046656">
            <w:pPr>
              <w:rPr>
                <w:sz w:val="20"/>
                <w:szCs w:val="20"/>
              </w:rPr>
            </w:pPr>
            <w:r w:rsidRPr="00D13F75">
              <w:rPr>
                <w:sz w:val="20"/>
                <w:szCs w:val="20"/>
              </w:rPr>
              <w:t>Schnutie pri 20°C:</w:t>
            </w:r>
          </w:p>
        </w:tc>
        <w:tc>
          <w:tcPr>
            <w:tcW w:w="6072" w:type="dxa"/>
          </w:tcPr>
          <w:p w:rsidR="00D13F75" w:rsidRPr="00D13F75" w:rsidRDefault="00D13F75" w:rsidP="00046656">
            <w:pPr>
              <w:rPr>
                <w:sz w:val="20"/>
                <w:szCs w:val="20"/>
              </w:rPr>
            </w:pPr>
            <w:r w:rsidRPr="00D13F75">
              <w:rPr>
                <w:sz w:val="20"/>
                <w:szCs w:val="20"/>
              </w:rPr>
              <w:t xml:space="preserve">cca. 3-6 hod – </w:t>
            </w:r>
            <w:proofErr w:type="spellStart"/>
            <w:r w:rsidRPr="00D13F75">
              <w:rPr>
                <w:sz w:val="20"/>
                <w:szCs w:val="20"/>
              </w:rPr>
              <w:t>prelakovateľná</w:t>
            </w:r>
            <w:proofErr w:type="spellEnd"/>
          </w:p>
        </w:tc>
      </w:tr>
      <w:tr w:rsidR="00D13F75" w:rsidRPr="00D13F75" w:rsidTr="00046656">
        <w:tc>
          <w:tcPr>
            <w:tcW w:w="3070" w:type="dxa"/>
          </w:tcPr>
          <w:p w:rsidR="00D13F75" w:rsidRPr="00D13F75" w:rsidRDefault="00D13F75" w:rsidP="00046656">
            <w:pPr>
              <w:rPr>
                <w:sz w:val="20"/>
                <w:szCs w:val="20"/>
              </w:rPr>
            </w:pPr>
            <w:r w:rsidRPr="00D13F75">
              <w:rPr>
                <w:sz w:val="20"/>
                <w:szCs w:val="20"/>
              </w:rPr>
              <w:t>Schnutie pri 20°C:</w:t>
            </w:r>
          </w:p>
        </w:tc>
        <w:tc>
          <w:tcPr>
            <w:tcW w:w="6072" w:type="dxa"/>
          </w:tcPr>
          <w:p w:rsidR="00D13F75" w:rsidRPr="00D13F75" w:rsidRDefault="00D13F75" w:rsidP="00046656">
            <w:pPr>
              <w:rPr>
                <w:sz w:val="20"/>
                <w:szCs w:val="20"/>
              </w:rPr>
            </w:pPr>
            <w:r w:rsidRPr="00D13F75">
              <w:rPr>
                <w:sz w:val="20"/>
                <w:szCs w:val="20"/>
              </w:rPr>
              <w:t>cca. 12 hod – vytvrdená</w:t>
            </w:r>
          </w:p>
        </w:tc>
      </w:tr>
      <w:tr w:rsidR="00D13F75" w:rsidRPr="00D13F75" w:rsidTr="00046656">
        <w:tc>
          <w:tcPr>
            <w:tcW w:w="3070" w:type="dxa"/>
          </w:tcPr>
          <w:p w:rsidR="00D13F75" w:rsidRPr="00D13F75" w:rsidRDefault="00D13F75" w:rsidP="00046656">
            <w:pPr>
              <w:rPr>
                <w:sz w:val="20"/>
                <w:szCs w:val="20"/>
              </w:rPr>
            </w:pPr>
            <w:r w:rsidRPr="00D13F75">
              <w:rPr>
                <w:sz w:val="20"/>
                <w:szCs w:val="20"/>
              </w:rPr>
              <w:t>Obsah pevných častíc</w:t>
            </w:r>
          </w:p>
        </w:tc>
        <w:tc>
          <w:tcPr>
            <w:tcW w:w="6072" w:type="dxa"/>
          </w:tcPr>
          <w:p w:rsidR="00D13F75" w:rsidRPr="00D13F75" w:rsidRDefault="00D13F75" w:rsidP="00046656">
            <w:pPr>
              <w:rPr>
                <w:sz w:val="20"/>
                <w:szCs w:val="20"/>
              </w:rPr>
            </w:pPr>
            <w:r w:rsidRPr="00D13F75">
              <w:rPr>
                <w:sz w:val="20"/>
                <w:szCs w:val="20"/>
              </w:rPr>
              <w:t>cca. 65 - 70 hm..%</w:t>
            </w:r>
          </w:p>
        </w:tc>
      </w:tr>
    </w:tbl>
    <w:p w:rsidR="00336838" w:rsidRPr="00A82AB4" w:rsidRDefault="00336838" w:rsidP="00A82AB4">
      <w:pPr>
        <w:pStyle w:val="Nadpis1"/>
        <w:rPr>
          <w:rFonts w:ascii="Verdana" w:hAnsi="Verdana"/>
          <w:color w:val="333333"/>
          <w:lang w:val="sk-SK"/>
        </w:rPr>
      </w:pPr>
    </w:p>
    <w:sectPr w:rsidR="00336838" w:rsidRPr="00A82AB4" w:rsidSect="008A7F3A">
      <w:headerReference w:type="default" r:id="rId8"/>
      <w:footerReference w:type="default" r:id="rId9"/>
      <w:pgSz w:w="11906" w:h="16838"/>
      <w:pgMar w:top="1135" w:right="1417" w:bottom="1276" w:left="1417" w:header="440" w:footer="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A87" w:rsidRDefault="00E43A87" w:rsidP="00336838">
      <w:r>
        <w:separator/>
      </w:r>
    </w:p>
  </w:endnote>
  <w:endnote w:type="continuationSeparator" w:id="0">
    <w:p w:rsidR="00E43A87" w:rsidRDefault="00E43A87"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997F43">
    <w:pPr>
      <w:jc w:val="center"/>
      <w:rPr>
        <w:sz w:val="20"/>
        <w:szCs w:val="20"/>
        <w:lang w:val="en-GB"/>
      </w:rPr>
    </w:pPr>
  </w:p>
  <w:p w:rsidR="00775E72" w:rsidRPr="00336838" w:rsidRDefault="00077255" w:rsidP="00077255">
    <w:pPr>
      <w:tabs>
        <w:tab w:val="center" w:pos="4536"/>
        <w:tab w:val="left" w:pos="6821"/>
      </w:tabs>
      <w:jc w:val="left"/>
      <w:rPr>
        <w:b/>
        <w:vertAlign w:val="superscript"/>
        <w:lang w:val="en-GB"/>
      </w:rPr>
    </w:pPr>
    <w:r>
      <w:rPr>
        <w:sz w:val="20"/>
        <w:szCs w:val="20"/>
        <w:lang w:val="en-GB"/>
      </w:rPr>
      <w:tab/>
    </w:r>
    <w:r w:rsidR="00E43A87">
      <w:rPr>
        <w:noProof/>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so" style="width:112.5pt;height:57pt;mso-width-percent:0;mso-height-percent:0;mso-width-percent:0;mso-height-percent:0">
          <v:imagedata r:id="rId1" o:title="iso"/>
        </v:shape>
      </w:pict>
    </w:r>
    <w:r>
      <w:rPr>
        <w:sz w:val="20"/>
        <w:szCs w:val="20"/>
        <w:lang w:val="en-GB"/>
      </w:rPr>
      <w:tab/>
    </w:r>
  </w:p>
  <w:p w:rsidR="00336838" w:rsidRDefault="00E43A87" w:rsidP="00125A35">
    <w:pPr>
      <w:rPr>
        <w:b/>
        <w:vertAlign w:val="superscript"/>
        <w:lang w:val="en-GB"/>
      </w:rPr>
    </w:pPr>
    <w:r>
      <w:rPr>
        <w:b/>
        <w:noProof/>
        <w:vertAlign w:val="superscript"/>
      </w:rPr>
      <w:pict>
        <v:shapetype id="_x0000_t32" coordsize="21600,21600" o:spt="32" o:oned="t" path="m,l21600,21600e" filled="f">
          <v:path arrowok="t" fillok="f" o:connecttype="none"/>
          <o:lock v:ext="edit" shapetype="t"/>
        </v:shapetype>
        <v:shape id="_x0000_s2049" type="#_x0000_t32" alt="" style="position:absolute;left:0;text-align:left;margin-left:-23.65pt;margin-top:12.5pt;width:504.95pt;height:0;z-index:1;mso-wrap-edited:f;mso-width-percent:0;mso-height-percent:0;mso-width-percent:0;mso-height-percent:0" o:connectortype="straight" strokeweight=".25pt"/>
      </w:pict>
    </w:r>
  </w:p>
  <w:p w:rsidR="00A62B84" w:rsidRDefault="00A62B84" w:rsidP="00125A35">
    <w:pPr>
      <w:jc w:val="center"/>
      <w:rPr>
        <w:rFonts w:ascii="Tahoma" w:hAnsi="Tahoma" w:cs="Tahoma"/>
        <w:b/>
        <w:sz w:val="18"/>
        <w:szCs w:val="18"/>
        <w:lang w:val="en-GB"/>
      </w:rPr>
    </w:pPr>
  </w:p>
  <w:p w:rsidR="00575E28" w:rsidRPr="00BC4C9A" w:rsidRDefault="00575E28" w:rsidP="00575E28">
    <w:pPr>
      <w:jc w:val="center"/>
      <w:rPr>
        <w:b/>
      </w:rPr>
    </w:pPr>
    <w:r w:rsidRPr="00BC4C9A">
      <w:rPr>
        <w:b/>
      </w:rPr>
      <w:t xml:space="preserve">GYNEX - CHEMALEX spol. </w:t>
    </w:r>
    <w:proofErr w:type="spellStart"/>
    <w:r w:rsidRPr="00BC4C9A">
      <w:rPr>
        <w:b/>
      </w:rPr>
      <w:t>s.r.o</w:t>
    </w:r>
    <w:proofErr w:type="spellEnd"/>
    <w:r w:rsidRPr="00BC4C9A">
      <w:rPr>
        <w:b/>
      </w:rPr>
      <w:t>.</w:t>
    </w:r>
  </w:p>
  <w:p w:rsidR="00575E28" w:rsidRPr="00BC4C9A" w:rsidRDefault="00575E28" w:rsidP="00575E28">
    <w:pPr>
      <w:jc w:val="center"/>
      <w:rPr>
        <w:sz w:val="18"/>
      </w:rPr>
    </w:pPr>
    <w:r w:rsidRPr="00BC4C9A">
      <w:rPr>
        <w:sz w:val="18"/>
      </w:rPr>
      <w:t>Na Lánoch 3298/10, 821 04 Bratislava, Slovenská republika, Tel.: +412 905 568 121</w:t>
    </w:r>
  </w:p>
  <w:p w:rsidR="00336838" w:rsidRPr="00575E28" w:rsidRDefault="00575E28" w:rsidP="00575E28">
    <w:pPr>
      <w:jc w:val="center"/>
      <w:rPr>
        <w:b/>
        <w:sz w:val="16"/>
        <w:szCs w:val="16"/>
        <w:vertAlign w:val="superscript"/>
      </w:rPr>
    </w:pPr>
    <w:r w:rsidRPr="00BC4C9A">
      <w:rPr>
        <w:sz w:val="18"/>
      </w:rPr>
      <w:t xml:space="preserve">gynexchemalex@gynexchemalex.sk, </w:t>
    </w:r>
    <w:hyperlink r:id="rId2" w:history="1">
      <w:r w:rsidRPr="00BC4C9A">
        <w:rPr>
          <w:rStyle w:val="Hypertextovprepojenie"/>
          <w:sz w:val="18"/>
        </w:rPr>
        <w:t>www.gynex.sk</w:t>
      </w:r>
    </w:hyperlink>
  </w:p>
  <w:p w:rsidR="00336838" w:rsidRPr="00336838" w:rsidRDefault="00336838" w:rsidP="00125A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A87" w:rsidRDefault="00E43A87" w:rsidP="00336838">
      <w:r>
        <w:separator/>
      </w:r>
    </w:p>
  </w:footnote>
  <w:footnote w:type="continuationSeparator" w:id="0">
    <w:p w:rsidR="00E43A87" w:rsidRDefault="00E43A87"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38" w:rsidRDefault="00E43A87" w:rsidP="008A7F3A">
    <w:pPr>
      <w:pStyle w:val="Hlavik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5" o:spid="_x0000_i1025" type="#_x0000_t75" style="width:166.5pt;height:48.7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A637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211DB"/>
    <w:multiLevelType w:val="hybridMultilevel"/>
    <w:tmpl w:val="D6029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AAB"/>
    <w:rsid w:val="000042DB"/>
    <w:rsid w:val="000226F7"/>
    <w:rsid w:val="00046656"/>
    <w:rsid w:val="00077255"/>
    <w:rsid w:val="00125A35"/>
    <w:rsid w:val="0019406F"/>
    <w:rsid w:val="00196EE0"/>
    <w:rsid w:val="001B7EA3"/>
    <w:rsid w:val="001D10C1"/>
    <w:rsid w:val="001D1DA7"/>
    <w:rsid w:val="00272BBB"/>
    <w:rsid w:val="002B5628"/>
    <w:rsid w:val="002F7F8A"/>
    <w:rsid w:val="00336838"/>
    <w:rsid w:val="00352430"/>
    <w:rsid w:val="00357F95"/>
    <w:rsid w:val="00366B8E"/>
    <w:rsid w:val="003A0CF0"/>
    <w:rsid w:val="003C55B1"/>
    <w:rsid w:val="003D63C0"/>
    <w:rsid w:val="00407C26"/>
    <w:rsid w:val="004201CE"/>
    <w:rsid w:val="00477F65"/>
    <w:rsid w:val="004C08F3"/>
    <w:rsid w:val="004F6388"/>
    <w:rsid w:val="005651B3"/>
    <w:rsid w:val="00575E28"/>
    <w:rsid w:val="005E4D31"/>
    <w:rsid w:val="00631894"/>
    <w:rsid w:val="006922E0"/>
    <w:rsid w:val="006F00DF"/>
    <w:rsid w:val="00741F0B"/>
    <w:rsid w:val="00775E72"/>
    <w:rsid w:val="0077797C"/>
    <w:rsid w:val="007957AA"/>
    <w:rsid w:val="00821E55"/>
    <w:rsid w:val="00887099"/>
    <w:rsid w:val="008A7F3A"/>
    <w:rsid w:val="008E69DB"/>
    <w:rsid w:val="00946E36"/>
    <w:rsid w:val="00997F43"/>
    <w:rsid w:val="009A0E38"/>
    <w:rsid w:val="00A62B84"/>
    <w:rsid w:val="00A82AB4"/>
    <w:rsid w:val="00A87AB7"/>
    <w:rsid w:val="00A91082"/>
    <w:rsid w:val="00AB4D47"/>
    <w:rsid w:val="00AC5272"/>
    <w:rsid w:val="00B163E9"/>
    <w:rsid w:val="00B41D5A"/>
    <w:rsid w:val="00BB6AAB"/>
    <w:rsid w:val="00BF748F"/>
    <w:rsid w:val="00BF7B3F"/>
    <w:rsid w:val="00C06A1E"/>
    <w:rsid w:val="00C613B1"/>
    <w:rsid w:val="00D13F75"/>
    <w:rsid w:val="00D302CB"/>
    <w:rsid w:val="00D315D0"/>
    <w:rsid w:val="00DA1608"/>
    <w:rsid w:val="00DB1208"/>
    <w:rsid w:val="00DB5448"/>
    <w:rsid w:val="00DF3DFA"/>
    <w:rsid w:val="00E43A87"/>
    <w:rsid w:val="00E57134"/>
    <w:rsid w:val="00E73240"/>
    <w:rsid w:val="00E84BD6"/>
    <w:rsid w:val="00F0200E"/>
    <w:rsid w:val="00F15373"/>
    <w:rsid w:val="00F26D1C"/>
    <w:rsid w:val="00FB39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E8D6AC4-F3FF-DE43-9F16-67B090CE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C1F4-B7C0-47C7-B539-37252255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2154</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9080</vt:i4>
      </vt:variant>
      <vt:variant>
        <vt:i4>1025</vt:i4>
      </vt:variant>
      <vt:variant>
        <vt:i4>1</vt:i4>
      </vt:variant>
      <vt:variant>
        <vt:lpwstr>iso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4</cp:revision>
  <cp:lastPrinted>2016-02-27T13:50:00Z</cp:lastPrinted>
  <dcterms:created xsi:type="dcterms:W3CDTF">2019-07-09T09:04:00Z</dcterms:created>
  <dcterms:modified xsi:type="dcterms:W3CDTF">2022-12-18T17:40:00Z</dcterms:modified>
</cp:coreProperties>
</file>