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D47" w:rsidRPr="00D07378" w:rsidRDefault="00B3731A" w:rsidP="00B3731A">
      <w:pPr>
        <w:rPr>
          <w:b/>
          <w:sz w:val="36"/>
          <w:szCs w:val="36"/>
        </w:rPr>
      </w:pPr>
      <w:r w:rsidRPr="00A82AB4">
        <w:rPr>
          <w:noProof/>
          <w:sz w:val="40"/>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807</wp:posOffset>
                </wp:positionV>
                <wp:extent cx="5751830" cy="525145"/>
                <wp:effectExtent l="0" t="0" r="127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8EF3F" id="Rectangle 3" o:spid="_x0000_s1026" style="position:absolute;margin-left:-1.8pt;margin-top:.05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" fillcolor="#cfcdcd" stroked="f" strokecolor="#f2f2f2" strokeweight="3pt">
                <v:shadow color="#823b0b" opacity=".5" offset="1pt"/>
                <v:path arrowok="t"/>
              </v:rect>
            </w:pict>
          </mc:Fallback>
        </mc:AlternateContent>
      </w:r>
      <w:r w:rsidR="00F15373" w:rsidRPr="00A82AB4">
        <w:rPr>
          <w:sz w:val="40"/>
        </w:rPr>
        <w:t>Technic</w:t>
      </w:r>
      <w:r w:rsidR="00A82AB4" w:rsidRPr="00A82AB4">
        <w:rPr>
          <w:sz w:val="40"/>
        </w:rPr>
        <w:t>ký list</w:t>
      </w:r>
      <w:r w:rsidR="00357F95" w:rsidRPr="00A82AB4">
        <w:rPr>
          <w:sz w:val="40"/>
        </w:rPr>
        <w:t>:</w:t>
      </w:r>
      <w:r w:rsidR="00E57134">
        <w:rPr>
          <w:sz w:val="40"/>
        </w:rPr>
        <w:tab/>
      </w:r>
      <w:r>
        <w:rPr>
          <w:b/>
          <w:sz w:val="36"/>
          <w:szCs w:val="36"/>
        </w:rPr>
        <w:t>CYKLON</w:t>
      </w:r>
      <w:r w:rsidR="00F15373" w:rsidRPr="00D07378">
        <w:rPr>
          <w:b/>
          <w:sz w:val="36"/>
          <w:szCs w:val="36"/>
        </w:rPr>
        <w:t xml:space="preserve"> </w:t>
      </w:r>
      <w:r>
        <w:rPr>
          <w:b/>
          <w:sz w:val="36"/>
          <w:szCs w:val="36"/>
        </w:rPr>
        <w:t>Mazivo</w:t>
      </w:r>
      <w:r w:rsidR="00D012A4">
        <w:rPr>
          <w:b/>
          <w:sz w:val="36"/>
          <w:szCs w:val="36"/>
        </w:rPr>
        <w:t xml:space="preserve"> v spreji</w:t>
      </w:r>
    </w:p>
    <w:p w:rsidR="00F15373" w:rsidRDefault="00A82AB4" w:rsidP="00B3731A">
      <w:pPr>
        <w:ind w:left="142"/>
        <w:rPr>
          <w:sz w:val="20"/>
          <w:szCs w:val="20"/>
        </w:rPr>
      </w:pPr>
      <w:r w:rsidRPr="00A82AB4">
        <w:rPr>
          <w:sz w:val="20"/>
          <w:szCs w:val="20"/>
        </w:rPr>
        <w:t>Číslo tovaru</w:t>
      </w:r>
      <w:r w:rsidR="00336838" w:rsidRPr="00A82AB4">
        <w:rPr>
          <w:sz w:val="20"/>
          <w:szCs w:val="20"/>
        </w:rPr>
        <w:t>:</w:t>
      </w:r>
      <w:r w:rsidR="00F15373" w:rsidRPr="00A82AB4">
        <w:rPr>
          <w:sz w:val="20"/>
          <w:szCs w:val="20"/>
        </w:rPr>
        <w:t xml:space="preserve"> </w:t>
      </w:r>
      <w:r w:rsidR="00B3731A" w:rsidRPr="00B3731A">
        <w:rPr>
          <w:sz w:val="20"/>
          <w:szCs w:val="20"/>
        </w:rPr>
        <w:t>1907201</w:t>
      </w:r>
    </w:p>
    <w:p w:rsidR="00B3731A" w:rsidRDefault="00B3731A" w:rsidP="00B3731A">
      <w:pPr>
        <w:ind w:left="142"/>
        <w:rPr>
          <w:sz w:val="20"/>
          <w:szCs w:val="20"/>
        </w:rPr>
      </w:pPr>
    </w:p>
    <w:p w:rsidR="00B3731A" w:rsidRPr="00A82AB4" w:rsidRDefault="00B3731A" w:rsidP="00B3731A">
      <w:pPr>
        <w:ind w:left="142"/>
      </w:pPr>
    </w:p>
    <w:p w:rsidR="00D012A4" w:rsidRPr="00D012A4" w:rsidRDefault="00B3731A" w:rsidP="00D012A4">
      <w:pPr>
        <w:rPr>
          <w:szCs w:val="22"/>
        </w:rPr>
      </w:pPr>
      <w:r>
        <w:rPr>
          <w:b/>
          <w:szCs w:val="22"/>
        </w:rPr>
        <w:t>CYKLON</w:t>
      </w:r>
      <w:r w:rsidR="00D012A4" w:rsidRPr="00D012A4">
        <w:rPr>
          <w:b/>
          <w:szCs w:val="22"/>
        </w:rPr>
        <w:t xml:space="preserve"> </w:t>
      </w:r>
      <w:r>
        <w:rPr>
          <w:b/>
          <w:szCs w:val="22"/>
        </w:rPr>
        <w:t>Mazivo</w:t>
      </w:r>
      <w:r w:rsidR="00D012A4" w:rsidRPr="00D012A4">
        <w:rPr>
          <w:b/>
          <w:szCs w:val="22"/>
        </w:rPr>
        <w:t xml:space="preserve"> v spreji</w:t>
      </w:r>
      <w:r w:rsidR="00D012A4" w:rsidRPr="00D012A4">
        <w:rPr>
          <w:szCs w:val="22"/>
        </w:rPr>
        <w:t xml:space="preserve"> je univerzálne použiteľné mazadlo na priemyselné použitie, napr. pomoc pri montážach, na trvalé mazanie kĺbov, puzdier a mnohých ďalších pohyblivých častí, pri ktorých sa vyžaduje dlhodobá trvanlivosť a pohyblivosť. Tento efekt sa dosiahne práve jeho dobrou priľnavosťou a vysokou mazacou schopnosťou.</w:t>
      </w:r>
    </w:p>
    <w:p w:rsidR="00D012A4" w:rsidRPr="00D012A4" w:rsidRDefault="00D012A4" w:rsidP="00D012A4">
      <w:pPr>
        <w:rPr>
          <w:sz w:val="16"/>
          <w:szCs w:val="16"/>
        </w:rPr>
      </w:pPr>
    </w:p>
    <w:p w:rsidR="00D012A4" w:rsidRPr="00D012A4" w:rsidRDefault="00D012A4" w:rsidP="00D012A4">
      <w:pPr>
        <w:pStyle w:val="Nadpis1"/>
        <w:rPr>
          <w:lang w:val="sk-SK"/>
        </w:rPr>
      </w:pPr>
      <w:r w:rsidRPr="00D012A4">
        <w:rPr>
          <w:lang w:val="sk-SK"/>
        </w:rPr>
        <w:t>Oblasti použitia</w:t>
      </w:r>
    </w:p>
    <w:p w:rsidR="00D012A4" w:rsidRPr="00D012A4" w:rsidRDefault="00D012A4" w:rsidP="00D012A4">
      <w:pPr>
        <w:rPr>
          <w:b/>
          <w:sz w:val="16"/>
          <w:szCs w:val="16"/>
        </w:rPr>
      </w:pPr>
    </w:p>
    <w:p w:rsidR="00D012A4" w:rsidRPr="00D012A4" w:rsidRDefault="00B3731A" w:rsidP="00D012A4">
      <w:pPr>
        <w:rPr>
          <w:szCs w:val="22"/>
        </w:rPr>
      </w:pPr>
      <w:r>
        <w:rPr>
          <w:szCs w:val="22"/>
        </w:rPr>
        <w:t>CYKLON</w:t>
      </w:r>
      <w:r w:rsidR="00D012A4" w:rsidRPr="00D012A4">
        <w:rPr>
          <w:szCs w:val="22"/>
        </w:rPr>
        <w:t xml:space="preserve"> </w:t>
      </w:r>
      <w:r>
        <w:rPr>
          <w:szCs w:val="22"/>
        </w:rPr>
        <w:t>Mazivo</w:t>
      </w:r>
      <w:r w:rsidR="00D012A4" w:rsidRPr="00D012A4">
        <w:rPr>
          <w:szCs w:val="22"/>
        </w:rPr>
        <w:t xml:space="preserve"> v spreji je možné použiť na základe jeho možností širokospektrálne, napr. pri klzných, valivých a kĺbových ložiskách, pri mazaní skrutiek, čapov a vedení, mazaní drážkovaných hriadeľov, výsuvných čapov, závitových vretien a klzných plôch všetkých druhov. Aj ako pomocný prostriedok pri čiastkových montážach v priemysle a v remeselnej výrobe, na uľahčenie neskorších demontáží.  </w:t>
      </w:r>
    </w:p>
    <w:p w:rsidR="00D012A4" w:rsidRPr="00D012A4" w:rsidRDefault="00D012A4" w:rsidP="00D012A4">
      <w:pPr>
        <w:rPr>
          <w:sz w:val="16"/>
          <w:szCs w:val="16"/>
        </w:rPr>
      </w:pPr>
    </w:p>
    <w:p w:rsidR="00D012A4" w:rsidRPr="00D012A4" w:rsidRDefault="00D012A4" w:rsidP="00D012A4">
      <w:pPr>
        <w:pStyle w:val="Nadpis1"/>
        <w:rPr>
          <w:lang w:val="sk-SK"/>
        </w:rPr>
      </w:pPr>
      <w:r w:rsidRPr="00D012A4">
        <w:rPr>
          <w:lang w:val="sk-SK"/>
        </w:rPr>
        <w:t>Vlastnosti produktu</w:t>
      </w:r>
    </w:p>
    <w:p w:rsidR="00D012A4" w:rsidRPr="00D012A4" w:rsidRDefault="00D012A4" w:rsidP="00D012A4">
      <w:pPr>
        <w:rPr>
          <w:sz w:val="16"/>
          <w:szCs w:val="16"/>
        </w:rPr>
      </w:pPr>
    </w:p>
    <w:p w:rsidR="00D012A4" w:rsidRPr="00C34AE8" w:rsidRDefault="00D012A4" w:rsidP="00D012A4">
      <w:pPr>
        <w:numPr>
          <w:ilvl w:val="0"/>
          <w:numId w:val="8"/>
        </w:numPr>
        <w:jc w:val="left"/>
      </w:pPr>
      <w:r w:rsidRPr="00C34AE8">
        <w:t>dobrá priľnavosť a tým dlhodobý efekt</w:t>
      </w:r>
    </w:p>
    <w:p w:rsidR="00D012A4" w:rsidRPr="00C34AE8" w:rsidRDefault="00D012A4" w:rsidP="00D012A4">
      <w:pPr>
        <w:numPr>
          <w:ilvl w:val="0"/>
          <w:numId w:val="8"/>
        </w:numPr>
        <w:jc w:val="left"/>
      </w:pPr>
      <w:r w:rsidRPr="00C34AE8">
        <w:t xml:space="preserve">s </w:t>
      </w:r>
      <w:proofErr w:type="spellStart"/>
      <w:r w:rsidRPr="00C34AE8">
        <w:t>aditívami</w:t>
      </w:r>
      <w:proofErr w:type="spellEnd"/>
      <w:r w:rsidRPr="00C34AE8">
        <w:t xml:space="preserve"> chrániacimi proti korózii a oteru</w:t>
      </w:r>
    </w:p>
    <w:p w:rsidR="00D012A4" w:rsidRPr="00C34AE8" w:rsidRDefault="00D012A4" w:rsidP="00D012A4">
      <w:pPr>
        <w:numPr>
          <w:ilvl w:val="0"/>
          <w:numId w:val="8"/>
        </w:numPr>
        <w:jc w:val="left"/>
      </w:pPr>
      <w:r w:rsidRPr="00C34AE8">
        <w:t>dobré vlastnosti proti vysokému tlaku</w:t>
      </w:r>
    </w:p>
    <w:p w:rsidR="00D012A4" w:rsidRPr="00C34AE8" w:rsidRDefault="00D012A4" w:rsidP="00D012A4">
      <w:pPr>
        <w:numPr>
          <w:ilvl w:val="0"/>
          <w:numId w:val="8"/>
        </w:numPr>
        <w:jc w:val="left"/>
      </w:pPr>
      <w:r w:rsidRPr="00C34AE8">
        <w:t>veľmi dobrá tekutosť</w:t>
      </w:r>
    </w:p>
    <w:p w:rsidR="00D012A4" w:rsidRPr="00C34AE8" w:rsidRDefault="00D012A4" w:rsidP="00D012A4">
      <w:pPr>
        <w:numPr>
          <w:ilvl w:val="0"/>
          <w:numId w:val="8"/>
        </w:numPr>
        <w:jc w:val="left"/>
      </w:pPr>
      <w:r w:rsidRPr="00C34AE8">
        <w:t>chráni pred oxidáciou a koróziou</w:t>
      </w:r>
    </w:p>
    <w:p w:rsidR="00D012A4" w:rsidRPr="00C34AE8" w:rsidRDefault="00D012A4" w:rsidP="00D012A4">
      <w:pPr>
        <w:numPr>
          <w:ilvl w:val="0"/>
          <w:numId w:val="8"/>
        </w:numPr>
        <w:jc w:val="left"/>
      </w:pPr>
      <w:r w:rsidRPr="00C34AE8">
        <w:t>vhodné aj pre ozubené kolesá</w:t>
      </w:r>
    </w:p>
    <w:p w:rsidR="00D012A4" w:rsidRPr="00C34AE8" w:rsidRDefault="00D012A4" w:rsidP="00D012A4">
      <w:pPr>
        <w:numPr>
          <w:ilvl w:val="0"/>
          <w:numId w:val="8"/>
        </w:numPr>
        <w:jc w:val="left"/>
      </w:pPr>
      <w:r w:rsidRPr="00C34AE8">
        <w:t>zabraňuje zadrhnutiu, priškvareniu a korózii</w:t>
      </w:r>
    </w:p>
    <w:p w:rsidR="00D012A4" w:rsidRPr="00C34AE8" w:rsidRDefault="00D012A4" w:rsidP="00D012A4">
      <w:pPr>
        <w:numPr>
          <w:ilvl w:val="0"/>
          <w:numId w:val="8"/>
        </w:numPr>
        <w:jc w:val="left"/>
      </w:pPr>
      <w:r w:rsidRPr="00C34AE8">
        <w:t>bez lítia</w:t>
      </w:r>
    </w:p>
    <w:p w:rsidR="00D012A4" w:rsidRPr="00D012A4" w:rsidRDefault="00D012A4" w:rsidP="00D012A4">
      <w:pPr>
        <w:rPr>
          <w:sz w:val="16"/>
          <w:szCs w:val="16"/>
        </w:rPr>
      </w:pPr>
    </w:p>
    <w:p w:rsidR="00D012A4" w:rsidRPr="00D012A4" w:rsidRDefault="00D012A4" w:rsidP="00D012A4">
      <w:pPr>
        <w:pStyle w:val="Nadpis1"/>
        <w:rPr>
          <w:bCs/>
          <w:lang w:val="sk-SK"/>
        </w:rPr>
      </w:pPr>
      <w:r w:rsidRPr="00D012A4">
        <w:rPr>
          <w:bCs/>
          <w:lang w:val="sk-SK"/>
        </w:rPr>
        <w:t>Informácie o spracovaní</w:t>
      </w:r>
    </w:p>
    <w:p w:rsidR="00D012A4" w:rsidRPr="00D012A4" w:rsidRDefault="00D012A4" w:rsidP="00D012A4">
      <w:pPr>
        <w:rPr>
          <w:sz w:val="16"/>
          <w:szCs w:val="16"/>
          <w:u w:val="single"/>
        </w:rPr>
      </w:pPr>
    </w:p>
    <w:p w:rsidR="00D012A4" w:rsidRPr="00C34AE8" w:rsidRDefault="00D012A4" w:rsidP="00D012A4">
      <w:r w:rsidRPr="00C34AE8">
        <w:rPr>
          <w:u w:val="single"/>
        </w:rPr>
        <w:t xml:space="preserve">Ošetrenie </w:t>
      </w:r>
      <w:bookmarkStart w:id="0" w:name="_GoBack"/>
      <w:bookmarkEnd w:id="0"/>
      <w:r w:rsidRPr="00C34AE8">
        <w:rPr>
          <w:u w:val="single"/>
        </w:rPr>
        <w:t>podkladu:</w:t>
      </w:r>
      <w:r w:rsidRPr="00C34AE8">
        <w:t xml:space="preserve"> Podklad by mal byť suchý, bez prachu, staré zvyšky mazadla by mali byť odstránené. </w:t>
      </w:r>
    </w:p>
    <w:p w:rsidR="00D012A4" w:rsidRPr="00C34AE8" w:rsidRDefault="00D012A4" w:rsidP="00D012A4">
      <w:r w:rsidRPr="00C34AE8">
        <w:rPr>
          <w:u w:val="single"/>
        </w:rPr>
        <w:t>Použitie:</w:t>
      </w:r>
      <w:r w:rsidRPr="00D012A4">
        <w:t xml:space="preserve"> </w:t>
      </w:r>
      <w:r w:rsidRPr="00C34AE8">
        <w:t>Nádobu silno potriasť (minimálne 2 min. od počuteľného nárazu guľôčok).</w:t>
      </w:r>
      <w:r>
        <w:t xml:space="preserve"> </w:t>
      </w:r>
      <w:r w:rsidRPr="00C34AE8">
        <w:t>Zo vzdialenosti cca. 20 – 30 cm nastriekať.</w:t>
      </w:r>
    </w:p>
    <w:p w:rsidR="00D012A4" w:rsidRPr="00D012A4" w:rsidRDefault="00D012A4" w:rsidP="00D012A4">
      <w:pPr>
        <w:rPr>
          <w:sz w:val="10"/>
          <w:szCs w:val="10"/>
        </w:rPr>
      </w:pPr>
    </w:p>
    <w:p w:rsidR="00D012A4" w:rsidRPr="00D012A4" w:rsidRDefault="00D012A4" w:rsidP="00D012A4">
      <w:pPr>
        <w:pStyle w:val="Nadpis1"/>
        <w:rPr>
          <w:lang w:val="sk-SK"/>
        </w:rPr>
      </w:pPr>
      <w:r w:rsidRPr="00D012A4">
        <w:rPr>
          <w:lang w:val="sk-SK"/>
        </w:rPr>
        <w:t>Technické údaje</w:t>
      </w:r>
    </w:p>
    <w:p w:rsidR="00D012A4" w:rsidRPr="00D012A4" w:rsidRDefault="00D012A4" w:rsidP="00D012A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5529"/>
      </w:tblGrid>
      <w:tr w:rsidR="00D012A4" w:rsidRPr="00D012A4" w:rsidTr="00D012A4">
        <w:tblPrEx>
          <w:tblCellMar>
            <w:top w:w="0" w:type="dxa"/>
            <w:bottom w:w="0" w:type="dxa"/>
          </w:tblCellMar>
        </w:tblPrEx>
        <w:tc>
          <w:tcPr>
            <w:tcW w:w="3330" w:type="dxa"/>
            <w:shd w:val="pct25" w:color="000000" w:fill="FFFFFF"/>
          </w:tcPr>
          <w:p w:rsidR="00D012A4" w:rsidRPr="00D012A4" w:rsidRDefault="00D012A4" w:rsidP="004D779A">
            <w:pPr>
              <w:rPr>
                <w:b/>
                <w:sz w:val="20"/>
                <w:szCs w:val="20"/>
              </w:rPr>
            </w:pPr>
            <w:r w:rsidRPr="00D012A4">
              <w:rPr>
                <w:b/>
                <w:sz w:val="20"/>
                <w:szCs w:val="20"/>
              </w:rPr>
              <w:t>Technické vlastnosti</w:t>
            </w:r>
          </w:p>
        </w:tc>
        <w:tc>
          <w:tcPr>
            <w:tcW w:w="5529" w:type="dxa"/>
            <w:shd w:val="pct25" w:color="000000" w:fill="FFFFFF"/>
          </w:tcPr>
          <w:p w:rsidR="00D012A4" w:rsidRPr="00D012A4" w:rsidRDefault="00D012A4" w:rsidP="004D779A">
            <w:pPr>
              <w:rPr>
                <w:b/>
                <w:sz w:val="20"/>
                <w:szCs w:val="20"/>
              </w:rPr>
            </w:pPr>
            <w:r w:rsidRPr="00D012A4">
              <w:rPr>
                <w:b/>
                <w:sz w:val="20"/>
                <w:szCs w:val="20"/>
              </w:rPr>
              <w:t>Požadovaná hodnota</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sidRPr="00D012A4">
              <w:rPr>
                <w:sz w:val="20"/>
                <w:szCs w:val="20"/>
              </w:rPr>
              <w:t>Viskozita základnej účinnej látky</w:t>
            </w:r>
          </w:p>
        </w:tc>
        <w:tc>
          <w:tcPr>
            <w:tcW w:w="5529" w:type="dxa"/>
          </w:tcPr>
          <w:p w:rsidR="00D012A4" w:rsidRPr="00D012A4" w:rsidRDefault="00D012A4" w:rsidP="004D779A">
            <w:pPr>
              <w:rPr>
                <w:sz w:val="20"/>
                <w:szCs w:val="20"/>
              </w:rPr>
            </w:pPr>
            <w:r w:rsidRPr="00D012A4">
              <w:rPr>
                <w:sz w:val="20"/>
                <w:szCs w:val="20"/>
              </w:rPr>
              <w:t>200 mm</w:t>
            </w:r>
            <w:r w:rsidRPr="00D012A4">
              <w:rPr>
                <w:sz w:val="20"/>
                <w:szCs w:val="20"/>
                <w:vertAlign w:val="superscript"/>
              </w:rPr>
              <w:t>2</w:t>
            </w:r>
            <w:r w:rsidRPr="00D012A4">
              <w:rPr>
                <w:sz w:val="20"/>
                <w:szCs w:val="20"/>
              </w:rPr>
              <w:t>/s pri 40°C</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sidRPr="00D012A4">
              <w:rPr>
                <w:sz w:val="20"/>
                <w:szCs w:val="20"/>
              </w:rPr>
              <w:t>Rozmedzie teplôt</w:t>
            </w:r>
          </w:p>
        </w:tc>
        <w:tc>
          <w:tcPr>
            <w:tcW w:w="5529" w:type="dxa"/>
          </w:tcPr>
          <w:p w:rsidR="00D012A4" w:rsidRPr="00D012A4" w:rsidRDefault="00D012A4" w:rsidP="004D779A">
            <w:pPr>
              <w:rPr>
                <w:sz w:val="20"/>
                <w:szCs w:val="20"/>
              </w:rPr>
            </w:pPr>
            <w:r w:rsidRPr="00D012A4">
              <w:rPr>
                <w:sz w:val="20"/>
                <w:szCs w:val="20"/>
              </w:rPr>
              <w:t>Od -30°C do +80°C (krátkodobo do 90°C)</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sidRPr="00D012A4">
              <w:rPr>
                <w:sz w:val="20"/>
                <w:szCs w:val="20"/>
              </w:rPr>
              <w:t>Báza</w:t>
            </w:r>
          </w:p>
        </w:tc>
        <w:tc>
          <w:tcPr>
            <w:tcW w:w="5529" w:type="dxa"/>
          </w:tcPr>
          <w:p w:rsidR="00D012A4" w:rsidRPr="00D012A4" w:rsidRDefault="00D012A4" w:rsidP="004D779A">
            <w:pPr>
              <w:rPr>
                <w:sz w:val="20"/>
                <w:szCs w:val="20"/>
              </w:rPr>
            </w:pPr>
            <w:r w:rsidRPr="00D012A4">
              <w:rPr>
                <w:sz w:val="20"/>
                <w:szCs w:val="20"/>
              </w:rPr>
              <w:t>mazadlo na sodíkovej báze (bez lítia)</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sidRPr="00D012A4">
              <w:rPr>
                <w:sz w:val="20"/>
                <w:szCs w:val="20"/>
              </w:rPr>
              <w:t>Farba</w:t>
            </w:r>
          </w:p>
        </w:tc>
        <w:tc>
          <w:tcPr>
            <w:tcW w:w="5529" w:type="dxa"/>
          </w:tcPr>
          <w:p w:rsidR="00D012A4" w:rsidRPr="00D012A4" w:rsidRDefault="00D012A4" w:rsidP="004D779A">
            <w:pPr>
              <w:rPr>
                <w:sz w:val="20"/>
                <w:szCs w:val="20"/>
              </w:rPr>
            </w:pPr>
            <w:r w:rsidRPr="00D012A4">
              <w:rPr>
                <w:sz w:val="20"/>
                <w:szCs w:val="20"/>
              </w:rPr>
              <w:t>hnedastá</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sidRPr="00D012A4">
              <w:rPr>
                <w:sz w:val="20"/>
                <w:szCs w:val="20"/>
              </w:rPr>
              <w:t>Pohonná látka</w:t>
            </w:r>
          </w:p>
        </w:tc>
        <w:tc>
          <w:tcPr>
            <w:tcW w:w="5529" w:type="dxa"/>
          </w:tcPr>
          <w:p w:rsidR="00D012A4" w:rsidRPr="00D012A4" w:rsidRDefault="00D012A4" w:rsidP="004D779A">
            <w:pPr>
              <w:rPr>
                <w:sz w:val="20"/>
                <w:szCs w:val="20"/>
              </w:rPr>
            </w:pPr>
            <w:r w:rsidRPr="00D012A4">
              <w:rPr>
                <w:sz w:val="20"/>
                <w:szCs w:val="20"/>
              </w:rPr>
              <w:t xml:space="preserve">zmes Propán/Bután </w:t>
            </w:r>
          </w:p>
        </w:tc>
      </w:tr>
      <w:tr w:rsidR="00D012A4" w:rsidRPr="00D012A4" w:rsidTr="00D012A4">
        <w:tblPrEx>
          <w:tblCellMar>
            <w:top w:w="0" w:type="dxa"/>
            <w:bottom w:w="0" w:type="dxa"/>
          </w:tblCellMar>
        </w:tblPrEx>
        <w:tc>
          <w:tcPr>
            <w:tcW w:w="3330" w:type="dxa"/>
          </w:tcPr>
          <w:p w:rsidR="00D012A4" w:rsidRPr="00D012A4" w:rsidRDefault="00D012A4" w:rsidP="004D779A">
            <w:pPr>
              <w:rPr>
                <w:sz w:val="20"/>
                <w:szCs w:val="20"/>
              </w:rPr>
            </w:pPr>
            <w:r>
              <w:rPr>
                <w:sz w:val="20"/>
                <w:szCs w:val="20"/>
              </w:rPr>
              <w:t>S</w:t>
            </w:r>
            <w:r w:rsidRPr="00D012A4">
              <w:rPr>
                <w:sz w:val="20"/>
                <w:szCs w:val="20"/>
              </w:rPr>
              <w:t>tálosť pri skladovaní</w:t>
            </w:r>
          </w:p>
        </w:tc>
        <w:tc>
          <w:tcPr>
            <w:tcW w:w="5529" w:type="dxa"/>
          </w:tcPr>
          <w:p w:rsidR="00D012A4" w:rsidRPr="00D012A4" w:rsidRDefault="00D012A4" w:rsidP="004D779A">
            <w:pPr>
              <w:rPr>
                <w:sz w:val="20"/>
                <w:szCs w:val="20"/>
              </w:rPr>
            </w:pPr>
            <w:r w:rsidRPr="00D012A4">
              <w:rPr>
                <w:sz w:val="20"/>
                <w:szCs w:val="20"/>
              </w:rPr>
              <w:t>3 roky</w:t>
            </w:r>
          </w:p>
        </w:tc>
      </w:tr>
    </w:tbl>
    <w:p w:rsidR="00336838" w:rsidRPr="00A82AB4" w:rsidRDefault="00336838" w:rsidP="00D012A4">
      <w:pPr>
        <w:pStyle w:val="Nadpis1"/>
        <w:rPr>
          <w:rFonts w:ascii="Verdana" w:hAnsi="Verdana"/>
          <w:color w:val="333333"/>
          <w:lang w:val="sk-SK"/>
        </w:rPr>
      </w:pPr>
    </w:p>
    <w:sectPr w:rsidR="00336838" w:rsidRPr="00A82AB4" w:rsidSect="00B3731A">
      <w:headerReference w:type="default" r:id="rId8"/>
      <w:footerReference w:type="default" r:id="rId9"/>
      <w:pgSz w:w="11906" w:h="16838"/>
      <w:pgMar w:top="1079" w:right="1417" w:bottom="1276" w:left="1417" w:header="356"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B64" w:rsidRDefault="004D0B64" w:rsidP="00336838">
      <w:r>
        <w:separator/>
      </w:r>
    </w:p>
  </w:endnote>
  <w:endnote w:type="continuationSeparator" w:id="0">
    <w:p w:rsidR="004D0B64" w:rsidRDefault="004D0B64"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BA6B9E">
      <w:rPr>
        <w:noProof/>
        <w:sz w:val="20"/>
        <w:szCs w:val="20"/>
        <w:lang w:val="en-GB"/>
      </w:rPr>
      <w:drawing>
        <wp:inline distT="0" distB="0" distL="0" distR="0">
          <wp:extent cx="1429385" cy="726440"/>
          <wp:effectExtent l="0" t="0" r="0" b="0"/>
          <wp:docPr id="2" name="Obrázok 1" descr="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726440"/>
                  </a:xfrm>
                  <a:prstGeom prst="rect">
                    <a:avLst/>
                  </a:prstGeom>
                  <a:noFill/>
                  <a:ln>
                    <a:noFill/>
                  </a:ln>
                </pic:spPr>
              </pic:pic>
            </a:graphicData>
          </a:graphic>
        </wp:inline>
      </w:drawing>
    </w:r>
    <w:r>
      <w:rPr>
        <w:sz w:val="20"/>
        <w:szCs w:val="20"/>
        <w:lang w:val="en-GB"/>
      </w:rPr>
      <w:tab/>
    </w:r>
  </w:p>
  <w:p w:rsidR="00336838" w:rsidRDefault="00BA6B9E"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158750</wp:posOffset>
              </wp:positionV>
              <wp:extent cx="64128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01F6F" id="_x0000_t32" coordsize="21600,21600" o:spt="32" o:oned="t" path="m,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" strokeweight=".25pt">
              <o:lock v:ext="edit" shapetype="f"/>
            </v:shape>
          </w:pict>
        </mc:Fallback>
      </mc:AlternateContent>
    </w:r>
  </w:p>
  <w:p w:rsidR="00A62B84" w:rsidRDefault="00A62B84" w:rsidP="00125A35">
    <w:pPr>
      <w:jc w:val="center"/>
      <w:rPr>
        <w:rFonts w:ascii="Tahoma" w:hAnsi="Tahoma" w:cs="Tahoma"/>
        <w:b/>
        <w:sz w:val="18"/>
        <w:szCs w:val="18"/>
        <w:lang w:val="en-GB"/>
      </w:rPr>
    </w:pPr>
  </w:p>
  <w:p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rsidR="00336838" w:rsidRPr="00077255" w:rsidRDefault="00336838" w:rsidP="00125A35">
    <w:pPr>
      <w:jc w:val="center"/>
      <w:rPr>
        <w:b/>
        <w:sz w:val="16"/>
        <w:szCs w:val="16"/>
        <w:vertAlign w:val="superscript"/>
        <w:lang w:val="en-GB"/>
      </w:rPr>
    </w:pPr>
    <w:hyperlink r:id="rId2" w:history="1">
      <w:r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Pr="00077255">
        <w:rPr>
          <w:rStyle w:val="Hypertextovprepojenie"/>
          <w:color w:val="auto"/>
          <w:sz w:val="16"/>
          <w:szCs w:val="16"/>
          <w:u w:val="none"/>
          <w:lang w:val="en-GB"/>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B64" w:rsidRDefault="004D0B64" w:rsidP="00336838">
      <w:r>
        <w:separator/>
      </w:r>
    </w:p>
  </w:footnote>
  <w:footnote w:type="continuationSeparator" w:id="0">
    <w:p w:rsidR="004D0B64" w:rsidRDefault="004D0B64"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38" w:rsidRDefault="00B3731A" w:rsidP="00B3731A">
    <w:pPr>
      <w:pStyle w:val="Hlavika"/>
      <w:jc w:val="center"/>
    </w:pPr>
    <w:r>
      <w:rPr>
        <w:noProof/>
      </w:rPr>
      <w:drawing>
        <wp:inline distT="0" distB="0" distL="0" distR="0">
          <wp:extent cx="2537308" cy="73865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58544" cy="744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0A2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0F43F98"/>
    <w:multiLevelType w:val="hybridMultilevel"/>
    <w:tmpl w:val="F1C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AB"/>
    <w:rsid w:val="000042DB"/>
    <w:rsid w:val="000226F7"/>
    <w:rsid w:val="00077255"/>
    <w:rsid w:val="000944A8"/>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77F65"/>
    <w:rsid w:val="004C08F3"/>
    <w:rsid w:val="004D0B64"/>
    <w:rsid w:val="004D779A"/>
    <w:rsid w:val="004F6388"/>
    <w:rsid w:val="005E4D31"/>
    <w:rsid w:val="00631894"/>
    <w:rsid w:val="006922E0"/>
    <w:rsid w:val="006F00DF"/>
    <w:rsid w:val="00741F0B"/>
    <w:rsid w:val="00775E72"/>
    <w:rsid w:val="0077797C"/>
    <w:rsid w:val="007957AA"/>
    <w:rsid w:val="00821E55"/>
    <w:rsid w:val="00887099"/>
    <w:rsid w:val="00946E36"/>
    <w:rsid w:val="00997F43"/>
    <w:rsid w:val="009A0E38"/>
    <w:rsid w:val="00A62B84"/>
    <w:rsid w:val="00A82AB4"/>
    <w:rsid w:val="00A87AB7"/>
    <w:rsid w:val="00A91082"/>
    <w:rsid w:val="00AA39EF"/>
    <w:rsid w:val="00AB4D47"/>
    <w:rsid w:val="00AC5272"/>
    <w:rsid w:val="00B163E9"/>
    <w:rsid w:val="00B3731A"/>
    <w:rsid w:val="00B41D5A"/>
    <w:rsid w:val="00BA6B9E"/>
    <w:rsid w:val="00BB6AAB"/>
    <w:rsid w:val="00BF748F"/>
    <w:rsid w:val="00C06A1E"/>
    <w:rsid w:val="00C613B1"/>
    <w:rsid w:val="00D012A4"/>
    <w:rsid w:val="00D07378"/>
    <w:rsid w:val="00D315D0"/>
    <w:rsid w:val="00DA1608"/>
    <w:rsid w:val="00DB1208"/>
    <w:rsid w:val="00DB5448"/>
    <w:rsid w:val="00DF3DFA"/>
    <w:rsid w:val="00E37A3A"/>
    <w:rsid w:val="00E57134"/>
    <w:rsid w:val="00E73240"/>
    <w:rsid w:val="00E84BD6"/>
    <w:rsid w:val="00EE1AB7"/>
    <w:rsid w:val="00F0200E"/>
    <w:rsid w:val="00F15373"/>
    <w:rsid w:val="00F26D1C"/>
    <w:rsid w:val="00FB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34831"/>
  <w15:chartTrackingRefBased/>
  <w15:docId w15:val="{7B3E8F89-3F44-574E-97B2-6F948FBD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uiPriority="52"/>
    <w:lsdException w:name="Hashtag" w:uiPriority="46"/>
    <w:lsdException w:name="Unresolved Mention" w:uiPriority="47"/>
    <w:lsdException w:name="Smart Link" w:uiPriority="48"/>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248-7209-3A49-B1B1-600403C8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1392</Characters>
  <Application>Microsoft Office Word</Application>
  <DocSecurity>0</DocSecurity>
  <Lines>11</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1633</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8500</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2019-10-24T08:26:00Z</dcterms:created>
  <dcterms:modified xsi:type="dcterms:W3CDTF">2019-10-24T08:28:00Z</dcterms:modified>
</cp:coreProperties>
</file>