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F95" w:rsidRPr="00A82AB4" w:rsidRDefault="00621BE2">
      <w:pPr>
        <w:rPr>
          <w:sz w:val="40"/>
        </w:rPr>
      </w:pPr>
      <w:r>
        <w:rPr>
          <w:sz w:val="40"/>
        </w:rPr>
        <w:pict>
          <v:rect id="_x0000_s1026" alt="" style="position:absolute;left:0;text-align:left;margin-left:-1.8pt;margin-top:22.3pt;width:452.9pt;height:41.35pt;z-index:-1;mso-wrap-edited:f;mso-width-percent:0;mso-height-percent:0;mso-width-percent:0;mso-height-percent:0" fillcolor="#cfcdcd" stroked="f" strokecolor="#f2f2f2" strokeweight="3pt">
            <v:shadow type="perspective" color="#823b0b" opacity=".5" offset="1pt" offset2="-1pt"/>
          </v:rect>
        </w:pict>
      </w:r>
    </w:p>
    <w:p w:rsidR="00AB4D47" w:rsidRPr="00D07378" w:rsidRDefault="00F15373" w:rsidP="00E84BD6">
      <w:pPr>
        <w:tabs>
          <w:tab w:val="right" w:pos="8647"/>
        </w:tabs>
        <w:ind w:left="142"/>
        <w:rPr>
          <w:b/>
          <w:sz w:val="36"/>
          <w:szCs w:val="36"/>
        </w:rPr>
      </w:pPr>
      <w:r w:rsidRPr="00A82AB4">
        <w:rPr>
          <w:sz w:val="40"/>
        </w:rPr>
        <w:t>Technic</w:t>
      </w:r>
      <w:r w:rsidR="00A82AB4" w:rsidRPr="00A82AB4">
        <w:rPr>
          <w:sz w:val="40"/>
        </w:rPr>
        <w:t>ký list</w:t>
      </w:r>
      <w:r w:rsidR="00357F95" w:rsidRPr="00A82AB4">
        <w:rPr>
          <w:sz w:val="40"/>
        </w:rPr>
        <w:t>:</w:t>
      </w:r>
      <w:r w:rsidR="00E57134">
        <w:rPr>
          <w:sz w:val="40"/>
        </w:rPr>
        <w:tab/>
      </w:r>
      <w:r w:rsidR="00FA21EF">
        <w:rPr>
          <w:sz w:val="40"/>
        </w:rPr>
        <w:t xml:space="preserve">  </w:t>
      </w:r>
      <w:r w:rsidR="00FA21EF">
        <w:rPr>
          <w:b/>
          <w:sz w:val="36"/>
          <w:szCs w:val="36"/>
        </w:rPr>
        <w:t>CYKLON</w:t>
      </w:r>
      <w:r w:rsidRPr="00D07378">
        <w:rPr>
          <w:b/>
          <w:sz w:val="36"/>
          <w:szCs w:val="36"/>
        </w:rPr>
        <w:t xml:space="preserve"> </w:t>
      </w:r>
      <w:r w:rsidR="00AF0171">
        <w:rPr>
          <w:b/>
          <w:sz w:val="36"/>
          <w:szCs w:val="36"/>
        </w:rPr>
        <w:t>Grafitový sprej</w:t>
      </w:r>
    </w:p>
    <w:p w:rsidR="00357F95" w:rsidRPr="00A82AB4" w:rsidRDefault="00A82AB4" w:rsidP="00E84BD6">
      <w:pPr>
        <w:ind w:left="142"/>
      </w:pPr>
      <w:r w:rsidRPr="00A82AB4">
        <w:rPr>
          <w:sz w:val="20"/>
          <w:szCs w:val="20"/>
        </w:rPr>
        <w:t>Číslo tovaru</w:t>
      </w:r>
      <w:r w:rsidR="00336838" w:rsidRPr="00A82AB4">
        <w:rPr>
          <w:sz w:val="20"/>
          <w:szCs w:val="20"/>
        </w:rPr>
        <w:t>:</w:t>
      </w:r>
      <w:r w:rsidR="00F15373" w:rsidRPr="00A82AB4">
        <w:rPr>
          <w:sz w:val="20"/>
          <w:szCs w:val="20"/>
        </w:rPr>
        <w:t xml:space="preserve"> </w:t>
      </w:r>
      <w:r w:rsidR="00FA21EF">
        <w:rPr>
          <w:sz w:val="20"/>
          <w:szCs w:val="20"/>
        </w:rPr>
        <w:t>1904</w:t>
      </w:r>
      <w:r w:rsidR="00AF0171">
        <w:rPr>
          <w:sz w:val="20"/>
          <w:szCs w:val="20"/>
        </w:rPr>
        <w:t>001</w:t>
      </w:r>
    </w:p>
    <w:p w:rsidR="00F15373" w:rsidRPr="00A82AB4" w:rsidRDefault="00F15373" w:rsidP="00F15373">
      <w:pPr>
        <w:pStyle w:val="Nadpis1"/>
        <w:rPr>
          <w:lang w:val="sk-SK"/>
        </w:rPr>
      </w:pPr>
    </w:p>
    <w:p w:rsidR="00AF0171" w:rsidRDefault="00FA21EF" w:rsidP="00AF0171">
      <w:r>
        <w:rPr>
          <w:b/>
        </w:rPr>
        <w:t>CYKLON</w:t>
      </w:r>
      <w:r w:rsidR="00AF0171" w:rsidRPr="00AF0171">
        <w:rPr>
          <w:b/>
        </w:rPr>
        <w:t xml:space="preserve"> Grafitový sprej</w:t>
      </w:r>
      <w:r w:rsidR="00AF0171">
        <w:t xml:space="preserve"> je mazadlo s dobrou priľnavosťou a odolnosťou voči vysokým teplotám, s vysokým podielom grafitu. Účinne zabraňuje horeniu a tvorbe príškvarkov výrazne zaťažených častí a zabraňuje korózii.</w:t>
      </w:r>
    </w:p>
    <w:p w:rsidR="00AF0171" w:rsidRPr="00AF0171" w:rsidRDefault="00AF0171" w:rsidP="00AF0171">
      <w:pPr>
        <w:rPr>
          <w:sz w:val="16"/>
          <w:szCs w:val="16"/>
        </w:rPr>
      </w:pPr>
    </w:p>
    <w:p w:rsidR="00AF0171" w:rsidRPr="00AF0171" w:rsidRDefault="00AF0171" w:rsidP="00AF0171">
      <w:pPr>
        <w:pStyle w:val="Nadpis1"/>
        <w:rPr>
          <w:lang w:val="sk-SK"/>
        </w:rPr>
      </w:pPr>
      <w:r w:rsidRPr="00AF0171">
        <w:rPr>
          <w:lang w:val="sk-SK"/>
        </w:rPr>
        <w:t xml:space="preserve">Oblasti použitia  </w:t>
      </w:r>
    </w:p>
    <w:p w:rsidR="00AF0171" w:rsidRDefault="00AF0171" w:rsidP="00AF0171"/>
    <w:p w:rsidR="00AF0171" w:rsidRDefault="00FA21EF" w:rsidP="00AF0171">
      <w:r>
        <w:t>CYKLON</w:t>
      </w:r>
      <w:r w:rsidR="00AF0171">
        <w:t xml:space="preserve"> Grafitový sprej je montážny mazací prostriedok s dlhodobým účinkom s použitím na výrazne zaťažené časti:</w:t>
      </w:r>
    </w:p>
    <w:p w:rsidR="00AF0171" w:rsidRDefault="00AF0171" w:rsidP="00AF0171">
      <w:pPr>
        <w:numPr>
          <w:ilvl w:val="0"/>
          <w:numId w:val="8"/>
        </w:numPr>
        <w:rPr>
          <w:sz w:val="28"/>
        </w:rPr>
      </w:pPr>
      <w:r>
        <w:t>automobilový priemysel - hriadele, puzdrá, riadiace časti, zámky, kĺbové závesy</w:t>
      </w:r>
    </w:p>
    <w:p w:rsidR="00AF0171" w:rsidRDefault="00AF0171" w:rsidP="00AF0171">
      <w:pPr>
        <w:numPr>
          <w:ilvl w:val="0"/>
          <w:numId w:val="8"/>
        </w:numPr>
      </w:pPr>
      <w:r>
        <w:t>strojárenská výroba - skrutkové spojenia, klzné spojenia, skĺbenia atď.</w:t>
      </w:r>
    </w:p>
    <w:p w:rsidR="00AF0171" w:rsidRDefault="00AF0171" w:rsidP="00AF0171">
      <w:pPr>
        <w:numPr>
          <w:ilvl w:val="0"/>
          <w:numId w:val="8"/>
        </w:numPr>
      </w:pPr>
      <w:r>
        <w:t>Potrubia - trubky a trubkové spojenia</w:t>
      </w:r>
    </w:p>
    <w:p w:rsidR="00AF0171" w:rsidRDefault="00AF0171" w:rsidP="00AF0171">
      <w:pPr>
        <w:rPr>
          <w:sz w:val="24"/>
        </w:rPr>
      </w:pPr>
    </w:p>
    <w:p w:rsidR="00AF0171" w:rsidRDefault="00AF0171" w:rsidP="00AF0171">
      <w:pPr>
        <w:pStyle w:val="Nadpis1"/>
      </w:pPr>
      <w:proofErr w:type="spellStart"/>
      <w:r>
        <w:t>Vlastnosti</w:t>
      </w:r>
      <w:proofErr w:type="spellEnd"/>
      <w:r>
        <w:t xml:space="preserve"> </w:t>
      </w:r>
      <w:proofErr w:type="spellStart"/>
      <w:r>
        <w:t>produktu</w:t>
      </w:r>
      <w:proofErr w:type="spellEnd"/>
    </w:p>
    <w:p w:rsidR="00AF0171" w:rsidRPr="00AF0171" w:rsidRDefault="00AF0171" w:rsidP="00AF0171"/>
    <w:p w:rsidR="00AF0171" w:rsidRDefault="00AF0171" w:rsidP="00AF0171">
      <w:pPr>
        <w:numPr>
          <w:ilvl w:val="0"/>
          <w:numId w:val="9"/>
        </w:numPr>
      </w:pPr>
      <w:r>
        <w:t>dobrá priľnavosť a tým dlhodobý mazací efekt</w:t>
      </w:r>
    </w:p>
    <w:p w:rsidR="00AF0171" w:rsidRDefault="00AF0171" w:rsidP="00AF0171">
      <w:pPr>
        <w:numPr>
          <w:ilvl w:val="0"/>
          <w:numId w:val="9"/>
        </w:numPr>
      </w:pPr>
      <w:r>
        <w:t>vysoký podiel grafitového prášku</w:t>
      </w:r>
    </w:p>
    <w:p w:rsidR="00AF0171" w:rsidRDefault="00AF0171" w:rsidP="00AF0171">
      <w:pPr>
        <w:numPr>
          <w:ilvl w:val="0"/>
          <w:numId w:val="9"/>
        </w:numPr>
      </w:pPr>
      <w:r>
        <w:t>vhodné na teplotné rozmedzie od –35°C do +450°C</w:t>
      </w:r>
    </w:p>
    <w:p w:rsidR="00AF0171" w:rsidRDefault="00AF0171" w:rsidP="00AF0171">
      <w:pPr>
        <w:numPr>
          <w:ilvl w:val="0"/>
          <w:numId w:val="9"/>
        </w:numPr>
      </w:pPr>
      <w:r>
        <w:t>chráni pred priškvarením</w:t>
      </w:r>
    </w:p>
    <w:p w:rsidR="00AF0171" w:rsidRDefault="00AF0171" w:rsidP="00AF0171">
      <w:pPr>
        <w:numPr>
          <w:ilvl w:val="0"/>
          <w:numId w:val="9"/>
        </w:numPr>
      </w:pPr>
      <w:r>
        <w:t>zabraňuje vzniku hrdze</w:t>
      </w:r>
    </w:p>
    <w:p w:rsidR="00AF0171" w:rsidRDefault="00AF0171" w:rsidP="00AF0171">
      <w:pPr>
        <w:numPr>
          <w:ilvl w:val="0"/>
          <w:numId w:val="9"/>
        </w:numPr>
      </w:pPr>
      <w:r>
        <w:t>odolný voči vysokému tlaku</w:t>
      </w:r>
    </w:p>
    <w:p w:rsidR="00AF0171" w:rsidRDefault="00AF0171" w:rsidP="00AF0171">
      <w:pPr>
        <w:numPr>
          <w:ilvl w:val="0"/>
          <w:numId w:val="9"/>
        </w:numPr>
      </w:pPr>
      <w:r>
        <w:t>stály voči slanej vode</w:t>
      </w:r>
    </w:p>
    <w:p w:rsidR="00AF0171" w:rsidRDefault="00AF0171" w:rsidP="00AF0171">
      <w:pPr>
        <w:numPr>
          <w:ilvl w:val="0"/>
          <w:numId w:val="9"/>
        </w:numPr>
      </w:pPr>
      <w:r>
        <w:t>stály proti rôznym parám</w:t>
      </w:r>
    </w:p>
    <w:p w:rsidR="00AF0171" w:rsidRDefault="00AF0171" w:rsidP="00AF0171"/>
    <w:p w:rsidR="00AF0171" w:rsidRPr="00AF0171" w:rsidRDefault="00AF0171" w:rsidP="00AF0171">
      <w:pPr>
        <w:pStyle w:val="Nadpis1"/>
        <w:rPr>
          <w:lang w:val="sk-SK"/>
        </w:rPr>
      </w:pPr>
      <w:r w:rsidRPr="00AF0171">
        <w:rPr>
          <w:lang w:val="sk-SK"/>
        </w:rPr>
        <w:t>Informácie o spracovaní</w:t>
      </w:r>
    </w:p>
    <w:p w:rsidR="00AF0171" w:rsidRDefault="00AF0171" w:rsidP="00AF0171">
      <w:pPr>
        <w:rPr>
          <w:u w:val="single"/>
        </w:rPr>
      </w:pPr>
    </w:p>
    <w:p w:rsidR="00AF0171" w:rsidRDefault="00AF0171" w:rsidP="00AF0171">
      <w:r>
        <w:rPr>
          <w:u w:val="single"/>
        </w:rPr>
        <w:t>Ošetrenie podkladu:</w:t>
      </w:r>
      <w:r>
        <w:t xml:space="preserve"> Podklad by mal byť suchý a bez prachu, staré zvyšky maziva by mali byť odstránené.</w:t>
      </w:r>
    </w:p>
    <w:p w:rsidR="00AF0171" w:rsidRDefault="00AF0171" w:rsidP="00AF0171">
      <w:r>
        <w:rPr>
          <w:u w:val="single"/>
        </w:rPr>
        <w:t>Použitie:</w:t>
      </w:r>
      <w:r w:rsidRPr="00AF0171">
        <w:t xml:space="preserve"> </w:t>
      </w:r>
      <w:r>
        <w:t>Nádobu silno potriasť (minimálne 2 min. od počuteľného pohybu guľôčok na zmiešanie). Zo vzdialenosti cca. 20 - 25 cm  cielene nastriekať. Prebytočný materiál odstrániť handrou.</w:t>
      </w:r>
    </w:p>
    <w:p w:rsidR="00AF0171" w:rsidRDefault="00AF0171" w:rsidP="00AF0171"/>
    <w:p w:rsidR="00AF0171" w:rsidRDefault="00AF0171" w:rsidP="00AF0171">
      <w:pPr>
        <w:rPr>
          <w:b/>
          <w:bCs/>
          <w:sz w:val="24"/>
        </w:rPr>
      </w:pPr>
      <w:r>
        <w:rPr>
          <w:b/>
          <w:bCs/>
          <w:sz w:val="24"/>
        </w:rPr>
        <w:t>Technické údaje</w:t>
      </w:r>
    </w:p>
    <w:p w:rsidR="00AF0171" w:rsidRDefault="00AF0171" w:rsidP="00AF0171">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5789"/>
      </w:tblGrid>
      <w:tr w:rsidR="00AF0171" w:rsidTr="00D2314E">
        <w:tc>
          <w:tcPr>
            <w:tcW w:w="3070" w:type="dxa"/>
            <w:shd w:val="pct25" w:color="000000" w:fill="FFFFFF"/>
          </w:tcPr>
          <w:p w:rsidR="00AF0171" w:rsidRDefault="00AF0171" w:rsidP="00D2314E">
            <w:pPr>
              <w:pStyle w:val="Nadpis2"/>
              <w:rPr>
                <w:bCs w:val="0"/>
              </w:rPr>
            </w:pPr>
            <w:r>
              <w:rPr>
                <w:bCs w:val="0"/>
              </w:rPr>
              <w:t>Technické vlastnosti</w:t>
            </w:r>
          </w:p>
        </w:tc>
        <w:tc>
          <w:tcPr>
            <w:tcW w:w="5789" w:type="dxa"/>
            <w:shd w:val="pct25" w:color="000000" w:fill="FFFFFF"/>
          </w:tcPr>
          <w:p w:rsidR="00AF0171" w:rsidRDefault="00AF0171" w:rsidP="00D2314E">
            <w:pPr>
              <w:pStyle w:val="Nadpis2"/>
              <w:rPr>
                <w:bCs w:val="0"/>
              </w:rPr>
            </w:pPr>
            <w:r>
              <w:rPr>
                <w:bCs w:val="0"/>
              </w:rPr>
              <w:t>Požadovaná hodnota</w:t>
            </w:r>
          </w:p>
        </w:tc>
      </w:tr>
      <w:tr w:rsidR="00AF0171" w:rsidTr="00D2314E">
        <w:tc>
          <w:tcPr>
            <w:tcW w:w="3070" w:type="dxa"/>
          </w:tcPr>
          <w:p w:rsidR="00AF0171" w:rsidRDefault="00AF0171" w:rsidP="00D2314E">
            <w:r>
              <w:t>Farba</w:t>
            </w:r>
          </w:p>
        </w:tc>
        <w:tc>
          <w:tcPr>
            <w:tcW w:w="5789" w:type="dxa"/>
          </w:tcPr>
          <w:p w:rsidR="00AF0171" w:rsidRDefault="00AF0171" w:rsidP="00D2314E">
            <w:r>
              <w:t>šedá</w:t>
            </w:r>
          </w:p>
        </w:tc>
      </w:tr>
      <w:tr w:rsidR="00AF0171" w:rsidTr="00D2314E">
        <w:tc>
          <w:tcPr>
            <w:tcW w:w="3070" w:type="dxa"/>
          </w:tcPr>
          <w:p w:rsidR="00AF0171" w:rsidRDefault="00AF0171" w:rsidP="00D2314E">
            <w:r>
              <w:t>Teplotné rozmedzie</w:t>
            </w:r>
          </w:p>
        </w:tc>
        <w:tc>
          <w:tcPr>
            <w:tcW w:w="5789" w:type="dxa"/>
          </w:tcPr>
          <w:p w:rsidR="00AF0171" w:rsidRDefault="00AF0171" w:rsidP="00D2314E">
            <w:r>
              <w:t xml:space="preserve">-55°C </w:t>
            </w:r>
            <w:r w:rsidR="00FA21EF">
              <w:t>až</w:t>
            </w:r>
            <w:r>
              <w:t xml:space="preserve"> +450°C</w:t>
            </w:r>
          </w:p>
        </w:tc>
      </w:tr>
      <w:tr w:rsidR="00AF0171" w:rsidTr="00D2314E">
        <w:tc>
          <w:tcPr>
            <w:tcW w:w="3070" w:type="dxa"/>
          </w:tcPr>
          <w:p w:rsidR="00AF0171" w:rsidRDefault="00AF0171" w:rsidP="00D2314E">
            <w:r>
              <w:t>Báza</w:t>
            </w:r>
          </w:p>
        </w:tc>
        <w:tc>
          <w:tcPr>
            <w:tcW w:w="5789" w:type="dxa"/>
          </w:tcPr>
          <w:p w:rsidR="00AF0171" w:rsidRDefault="00AF0171" w:rsidP="00D2314E">
            <w:r>
              <w:t xml:space="preserve">grafitový prášok s väzobnými látkami a rôznymi </w:t>
            </w:r>
            <w:proofErr w:type="spellStart"/>
            <w:r>
              <w:t>aditívami</w:t>
            </w:r>
            <w:proofErr w:type="spellEnd"/>
            <w:r>
              <w:t xml:space="preserve"> </w:t>
            </w:r>
          </w:p>
        </w:tc>
      </w:tr>
      <w:tr w:rsidR="00AF0171" w:rsidTr="00D2314E">
        <w:tc>
          <w:tcPr>
            <w:tcW w:w="3070" w:type="dxa"/>
          </w:tcPr>
          <w:p w:rsidR="00AF0171" w:rsidRDefault="00C1584E" w:rsidP="00D2314E">
            <w:r>
              <w:t>S</w:t>
            </w:r>
            <w:r w:rsidR="00AF0171">
              <w:t>tabilita pri skladovaní</w:t>
            </w:r>
          </w:p>
        </w:tc>
        <w:tc>
          <w:tcPr>
            <w:tcW w:w="5789" w:type="dxa"/>
          </w:tcPr>
          <w:p w:rsidR="00AF0171" w:rsidRDefault="00AF0171" w:rsidP="00D2314E">
            <w:r>
              <w:t>cca. 2 roky pri správnom skladovaní</w:t>
            </w:r>
          </w:p>
        </w:tc>
      </w:tr>
    </w:tbl>
    <w:p w:rsidR="00336838" w:rsidRPr="00A82AB4" w:rsidRDefault="00336838" w:rsidP="00A82AB4">
      <w:pPr>
        <w:pStyle w:val="Nadpis1"/>
        <w:rPr>
          <w:rFonts w:ascii="Verdana" w:hAnsi="Verdana"/>
          <w:color w:val="333333"/>
          <w:lang w:val="sk-SK"/>
        </w:rPr>
      </w:pPr>
      <w:bookmarkStart w:id="0" w:name="_GoBack"/>
      <w:bookmarkEnd w:id="0"/>
    </w:p>
    <w:sectPr w:rsidR="00336838" w:rsidRPr="00A82AB4" w:rsidSect="00FA21EF">
      <w:headerReference w:type="default" r:id="rId8"/>
      <w:footerReference w:type="default" r:id="rId9"/>
      <w:pgSz w:w="11906" w:h="16838"/>
      <w:pgMar w:top="1135" w:right="1417" w:bottom="1276" w:left="1417" w:header="358" w:footer="6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BE2" w:rsidRDefault="00621BE2" w:rsidP="00336838">
      <w:r>
        <w:separator/>
      </w:r>
    </w:p>
  </w:endnote>
  <w:endnote w:type="continuationSeparator" w:id="0">
    <w:p w:rsidR="00621BE2" w:rsidRDefault="00621BE2"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rsidR="00997F43" w:rsidRDefault="00997F43" w:rsidP="00997F43">
    <w:pPr>
      <w:jc w:val="center"/>
      <w:rPr>
        <w:sz w:val="20"/>
        <w:szCs w:val="20"/>
        <w:lang w:val="en-GB"/>
      </w:rPr>
    </w:pPr>
  </w:p>
  <w:p w:rsidR="00775E72" w:rsidRPr="00336838" w:rsidRDefault="00077255" w:rsidP="00077255">
    <w:pPr>
      <w:tabs>
        <w:tab w:val="center" w:pos="4536"/>
        <w:tab w:val="left" w:pos="6821"/>
      </w:tabs>
      <w:jc w:val="left"/>
      <w:rPr>
        <w:b/>
        <w:vertAlign w:val="superscript"/>
        <w:lang w:val="en-GB"/>
      </w:rPr>
    </w:pPr>
    <w:r>
      <w:rPr>
        <w:sz w:val="20"/>
        <w:szCs w:val="20"/>
        <w:lang w:val="en-GB"/>
      </w:rPr>
      <w:tab/>
    </w:r>
    <w:r w:rsidR="00621BE2">
      <w:rPr>
        <w:noProof/>
        <w:sz w:val="20"/>
        <w:szCs w:val="2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so" style="width:112.5pt;height:57pt;mso-width-percent:0;mso-height-percent:0;mso-width-percent:0;mso-height-percent:0">
          <v:imagedata r:id="rId1" o:title="iso"/>
        </v:shape>
      </w:pict>
    </w:r>
    <w:r>
      <w:rPr>
        <w:sz w:val="20"/>
        <w:szCs w:val="20"/>
        <w:lang w:val="en-GB"/>
      </w:rPr>
      <w:tab/>
    </w:r>
  </w:p>
  <w:p w:rsidR="00336838" w:rsidRDefault="00621BE2" w:rsidP="00125A35">
    <w:pPr>
      <w:rPr>
        <w:b/>
        <w:vertAlign w:val="superscript"/>
        <w:lang w:val="en-GB"/>
      </w:rPr>
    </w:pPr>
    <w:r>
      <w:rPr>
        <w:b/>
        <w:noProof/>
        <w:vertAlign w:val="superscript"/>
      </w:rPr>
      <w:pict>
        <v:shapetype id="_x0000_t32" coordsize="21600,21600" o:spt="32" o:oned="t" path="m,l21600,21600e" filled="f">
          <v:path arrowok="t" fillok="f" o:connecttype="none"/>
          <o:lock v:ext="edit" shapetype="t"/>
        </v:shapetype>
        <v:shape id="_x0000_s2049" type="#_x0000_t32" alt="" style="position:absolute;left:0;text-align:left;margin-left:-23.65pt;margin-top:12.5pt;width:504.95pt;height:0;z-index:1;mso-wrap-edited:f;mso-width-percent:0;mso-height-percent:0;mso-width-percent:0;mso-height-percent:0" o:connectortype="straight" strokeweight=".25pt"/>
      </w:pict>
    </w:r>
  </w:p>
  <w:p w:rsidR="00A62B84" w:rsidRDefault="00A62B84" w:rsidP="00125A35">
    <w:pPr>
      <w:jc w:val="center"/>
      <w:rPr>
        <w:rFonts w:ascii="Tahoma" w:hAnsi="Tahoma" w:cs="Tahoma"/>
        <w:b/>
        <w:sz w:val="18"/>
        <w:szCs w:val="18"/>
        <w:lang w:val="en-GB"/>
      </w:rPr>
    </w:pPr>
  </w:p>
  <w:p w:rsidR="008A1BCB" w:rsidRPr="00BC4C9A" w:rsidRDefault="008A1BCB" w:rsidP="008A1BCB">
    <w:pPr>
      <w:jc w:val="center"/>
      <w:rPr>
        <w:b/>
      </w:rPr>
    </w:pPr>
    <w:r w:rsidRPr="00BC4C9A">
      <w:rPr>
        <w:b/>
      </w:rPr>
      <w:t xml:space="preserve">GYNEX - CHEMALEX spol. </w:t>
    </w:r>
    <w:proofErr w:type="spellStart"/>
    <w:r w:rsidRPr="00BC4C9A">
      <w:rPr>
        <w:b/>
      </w:rPr>
      <w:t>s.r.o</w:t>
    </w:r>
    <w:proofErr w:type="spellEnd"/>
    <w:r w:rsidRPr="00BC4C9A">
      <w:rPr>
        <w:b/>
      </w:rPr>
      <w:t>.</w:t>
    </w:r>
  </w:p>
  <w:p w:rsidR="008A1BCB" w:rsidRPr="00BC4C9A" w:rsidRDefault="008A1BCB" w:rsidP="008A1BCB">
    <w:pPr>
      <w:jc w:val="center"/>
      <w:rPr>
        <w:sz w:val="18"/>
      </w:rPr>
    </w:pPr>
    <w:r w:rsidRPr="00BC4C9A">
      <w:rPr>
        <w:sz w:val="18"/>
      </w:rPr>
      <w:t>Na Lánoch 3298/10, 821 04 Bratislava, Slovenská republika, Tel.: +412 905 568 121</w:t>
    </w:r>
  </w:p>
  <w:p w:rsidR="00336838" w:rsidRPr="008A1BCB" w:rsidRDefault="008A1BCB" w:rsidP="008A1BCB">
    <w:pPr>
      <w:jc w:val="center"/>
      <w:rPr>
        <w:b/>
        <w:sz w:val="16"/>
        <w:szCs w:val="16"/>
        <w:vertAlign w:val="superscript"/>
      </w:rPr>
    </w:pPr>
    <w:r w:rsidRPr="00BC4C9A">
      <w:rPr>
        <w:sz w:val="18"/>
      </w:rPr>
      <w:t xml:space="preserve">gynexchemalex@gynexchemalex.sk, </w:t>
    </w:r>
    <w:hyperlink r:id="rId2" w:history="1">
      <w:r w:rsidRPr="00BC4C9A">
        <w:rPr>
          <w:rStyle w:val="Hypertextovprepojenie"/>
          <w:sz w:val="18"/>
        </w:rPr>
        <w:t>www.gynex.sk</w:t>
      </w:r>
    </w:hyperlink>
  </w:p>
  <w:p w:rsidR="00336838" w:rsidRPr="00336838" w:rsidRDefault="00336838" w:rsidP="00125A3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BE2" w:rsidRDefault="00621BE2" w:rsidP="00336838">
      <w:r>
        <w:separator/>
      </w:r>
    </w:p>
  </w:footnote>
  <w:footnote w:type="continuationSeparator" w:id="0">
    <w:p w:rsidR="00621BE2" w:rsidRDefault="00621BE2" w:rsidP="00336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38" w:rsidRDefault="00621BE2" w:rsidP="00FA21EF">
    <w:pPr>
      <w:pStyle w:val="Hlavika"/>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5" o:spid="_x0000_i1025" type="#_x0000_t75" style="width:143.25pt;height:41.2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0C02B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D92573"/>
    <w:multiLevelType w:val="hybridMultilevel"/>
    <w:tmpl w:val="0966D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3A8C5707"/>
    <w:multiLevelType w:val="hybridMultilevel"/>
    <w:tmpl w:val="018836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8"/>
  </w:num>
  <w:num w:numId="6">
    <w:abstractNumId w:val="3"/>
  </w:num>
  <w:num w:numId="7">
    <w:abstractNumId w:val="0"/>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AAB"/>
    <w:rsid w:val="000042DB"/>
    <w:rsid w:val="000226F7"/>
    <w:rsid w:val="00077255"/>
    <w:rsid w:val="00125A35"/>
    <w:rsid w:val="0019406F"/>
    <w:rsid w:val="00196EE0"/>
    <w:rsid w:val="001B7EA3"/>
    <w:rsid w:val="001D10C1"/>
    <w:rsid w:val="001D1DA7"/>
    <w:rsid w:val="00272BBB"/>
    <w:rsid w:val="002B5628"/>
    <w:rsid w:val="002F7F8A"/>
    <w:rsid w:val="00336838"/>
    <w:rsid w:val="00352430"/>
    <w:rsid w:val="00357F95"/>
    <w:rsid w:val="00366B8E"/>
    <w:rsid w:val="003A0CF0"/>
    <w:rsid w:val="003C55B1"/>
    <w:rsid w:val="003D63C0"/>
    <w:rsid w:val="00407C26"/>
    <w:rsid w:val="004201CE"/>
    <w:rsid w:val="00477F65"/>
    <w:rsid w:val="004C08F3"/>
    <w:rsid w:val="004F6388"/>
    <w:rsid w:val="005E4D31"/>
    <w:rsid w:val="00621BE2"/>
    <w:rsid w:val="00631894"/>
    <w:rsid w:val="006922E0"/>
    <w:rsid w:val="006F00DF"/>
    <w:rsid w:val="007002B6"/>
    <w:rsid w:val="00741F0B"/>
    <w:rsid w:val="00775E72"/>
    <w:rsid w:val="0077797C"/>
    <w:rsid w:val="007957AA"/>
    <w:rsid w:val="00821E55"/>
    <w:rsid w:val="00887099"/>
    <w:rsid w:val="008A1BCB"/>
    <w:rsid w:val="00946E36"/>
    <w:rsid w:val="00997F43"/>
    <w:rsid w:val="009A0E38"/>
    <w:rsid w:val="00A62B84"/>
    <w:rsid w:val="00A82AB4"/>
    <w:rsid w:val="00A87AB7"/>
    <w:rsid w:val="00A91082"/>
    <w:rsid w:val="00AA39EF"/>
    <w:rsid w:val="00AB4D47"/>
    <w:rsid w:val="00AB57B9"/>
    <w:rsid w:val="00AC5272"/>
    <w:rsid w:val="00AF0171"/>
    <w:rsid w:val="00B163E9"/>
    <w:rsid w:val="00B41D5A"/>
    <w:rsid w:val="00BB6AAB"/>
    <w:rsid w:val="00BF748F"/>
    <w:rsid w:val="00C06A1E"/>
    <w:rsid w:val="00C1584E"/>
    <w:rsid w:val="00C613B1"/>
    <w:rsid w:val="00C65DF1"/>
    <w:rsid w:val="00D07378"/>
    <w:rsid w:val="00D2314E"/>
    <w:rsid w:val="00D315D0"/>
    <w:rsid w:val="00DA1608"/>
    <w:rsid w:val="00DB1208"/>
    <w:rsid w:val="00DB5448"/>
    <w:rsid w:val="00DF3DFA"/>
    <w:rsid w:val="00E37A3A"/>
    <w:rsid w:val="00E57134"/>
    <w:rsid w:val="00E73240"/>
    <w:rsid w:val="00E84BD6"/>
    <w:rsid w:val="00EE1AB7"/>
    <w:rsid w:val="00F0200E"/>
    <w:rsid w:val="00F15373"/>
    <w:rsid w:val="00F26D1C"/>
    <w:rsid w:val="00FA21EF"/>
    <w:rsid w:val="00FB39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0849D89-40AC-B14E-BAF7-B25C2EF32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5E72"/>
    <w:pPr>
      <w:jc w:val="both"/>
    </w:pPr>
    <w:rPr>
      <w:sz w:val="22"/>
      <w:szCs w:val="24"/>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Sil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52FBA-AA87-4DFC-855F-ACB8703C8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212</Words>
  <Characters>1210</Characters>
  <Application>Microsoft Office Word</Application>
  <DocSecurity>0</DocSecurity>
  <Lines>10</Lines>
  <Paragraphs>2</Paragraphs>
  <ScaleCrop>false</ScaleCrop>
  <HeadingPairs>
    <vt:vector size="2" baseType="variant">
      <vt:variant>
        <vt:lpstr>Oslovení</vt:lpstr>
      </vt:variant>
      <vt:variant>
        <vt:i4>1</vt:i4>
      </vt:variant>
    </vt:vector>
  </HeadingPairs>
  <TitlesOfParts>
    <vt:vector size="1" baseType="lpstr">
      <vt:lpstr/>
    </vt:vector>
  </TitlesOfParts>
  <Company>XX</Company>
  <LinksUpToDate>false</LinksUpToDate>
  <CharactersWithSpaces>1420</CharactersWithSpaces>
  <SharedDoc>false</SharedDoc>
  <HLinks>
    <vt:vector size="18" baseType="variant">
      <vt:variant>
        <vt:i4>393225</vt:i4>
      </vt:variant>
      <vt:variant>
        <vt:i4>3</vt:i4>
      </vt:variant>
      <vt:variant>
        <vt:i4>0</vt:i4>
      </vt:variant>
      <vt:variant>
        <vt:i4>5</vt:i4>
      </vt:variant>
      <vt:variant>
        <vt:lpwstr>http://www.gynex.sk/</vt:lpwstr>
      </vt:variant>
      <vt:variant>
        <vt:lpwstr/>
      </vt:variant>
      <vt:variant>
        <vt:i4>1114191</vt:i4>
      </vt:variant>
      <vt:variant>
        <vt:i4>0</vt:i4>
      </vt:variant>
      <vt:variant>
        <vt:i4>0</vt:i4>
      </vt:variant>
      <vt:variant>
        <vt:i4>5</vt:i4>
      </vt:variant>
      <vt:variant>
        <vt:lpwstr>mailto:gynex@gynex.sk</vt:lpwstr>
      </vt:variant>
      <vt:variant>
        <vt:lpwstr/>
      </vt:variant>
      <vt:variant>
        <vt:i4>7536646</vt:i4>
      </vt:variant>
      <vt:variant>
        <vt:i4>8552</vt:i4>
      </vt:variant>
      <vt:variant>
        <vt:i4>1025</vt:i4>
      </vt:variant>
      <vt:variant>
        <vt:i4>1</vt:i4>
      </vt:variant>
      <vt:variant>
        <vt:lpwstr>iso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Konto Microsoft</cp:lastModifiedBy>
  <cp:revision>4</cp:revision>
  <cp:lastPrinted>2016-02-27T13:50:00Z</cp:lastPrinted>
  <dcterms:created xsi:type="dcterms:W3CDTF">2019-06-03T12:01:00Z</dcterms:created>
  <dcterms:modified xsi:type="dcterms:W3CDTF">2022-12-18T17:44:00Z</dcterms:modified>
</cp:coreProperties>
</file>