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4A5" w:rsidRPr="00EE44A5">
              <w:t>STRIEBORNÁ FARBA NA DISKY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EE44A5" w:rsidRPr="00EE44A5">
              <w:rPr>
                <w:rFonts w:ascii="Arial" w:hAnsi="Arial" w:cs="Arial"/>
                <w:sz w:val="20"/>
                <w:szCs w:val="20"/>
              </w:rPr>
              <w:t>PC30-R0U5-G002-MCD5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EE44A5" w:rsidP="00D124C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E44A5">
              <w:rPr>
                <w:rFonts w:ascii="Arial" w:hAnsi="Arial" w:cs="Arial"/>
                <w:sz w:val="20"/>
                <w:szCs w:val="20"/>
              </w:rPr>
              <w:t>1903801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EB021E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8B7EB8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EB021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Pr="001342B9" w:rsidRDefault="00EB021E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1E" w:rsidRDefault="002502F5" w:rsidP="00EB021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B021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02182F" w:rsidRPr="001342B9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Pr="001342B9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etyl acetát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butyl acetát</w:t>
            </w:r>
          </w:p>
          <w:p w:rsidR="007A737B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2-metoxypropán-2-yl acetát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 xml:space="preserve">EUH211 Pozor! Pri rozprašovaní sa môžu vytvárať nebezpečné </w:t>
            </w:r>
            <w:proofErr w:type="spellStart"/>
            <w:r w:rsidRPr="00D124C0">
              <w:rPr>
                <w:rFonts w:ascii="Arial" w:hAnsi="Arial" w:cs="Arial"/>
                <w:sz w:val="20"/>
                <w:szCs w:val="20"/>
              </w:rPr>
              <w:t>respirabilné</w:t>
            </w:r>
            <w:proofErr w:type="spellEnd"/>
            <w:r w:rsidRPr="00D124C0">
              <w:rPr>
                <w:rFonts w:ascii="Arial" w:hAnsi="Arial" w:cs="Arial"/>
                <w:sz w:val="20"/>
                <w:szCs w:val="20"/>
              </w:rPr>
              <w:t xml:space="preserve"> kvapôčky. Nevdychujte aerosóly</w:t>
            </w:r>
          </w:p>
          <w:p w:rsidR="00D124C0" w:rsidRPr="00396D68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ani hmlu.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694"/>
        <w:gridCol w:w="1710"/>
        <w:gridCol w:w="1135"/>
        <w:gridCol w:w="1558"/>
        <w:gridCol w:w="1138"/>
      </w:tblGrid>
      <w:tr w:rsidR="004C5630" w:rsidRPr="00D856C7" w:rsidTr="00B22DA6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lastRenderedPageBreak/>
              <w:t>Dimetyléter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D33786" w:rsidRPr="007A737B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D3378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etyl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D33786" w:rsidRPr="00816C89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D33786" w:rsidRPr="00816C89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02182F">
              <w:rPr>
                <w:rFonts w:ascii="Arial" w:hAnsi="Arial" w:cs="Arial"/>
                <w:sz w:val="17"/>
                <w:szCs w:val="17"/>
              </w:rPr>
              <w:t>5 - &lt;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02182F">
              <w:rPr>
                <w:rFonts w:ascii="Arial" w:hAnsi="Arial" w:cs="Arial"/>
                <w:sz w:val="17"/>
                <w:szCs w:val="17"/>
              </w:rPr>
              <w:t>0</w:t>
            </w:r>
            <w:r w:rsidR="0002182F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Butylacetát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126CDB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56103D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nitrocelulóza &lt;obsahujúca viac ako 12.6 % dusíka&gt;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9004-70-0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D33786" w:rsidRPr="00CC0A3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Sol.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9B4464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oxid </w:t>
            </w:r>
            <w:proofErr w:type="spellStart"/>
            <w:r w:rsidRPr="00CC0A34">
              <w:rPr>
                <w:rFonts w:ascii="Arial" w:hAnsi="Arial" w:cs="Arial"/>
                <w:sz w:val="17"/>
                <w:szCs w:val="17"/>
              </w:rPr>
              <w:t>titaničitý</w:t>
            </w:r>
            <w:proofErr w:type="spellEnd"/>
            <w:r w:rsidRPr="00CC0A34">
              <w:rPr>
                <w:rFonts w:ascii="Arial" w:hAnsi="Arial" w:cs="Arial"/>
                <w:sz w:val="17"/>
                <w:szCs w:val="17"/>
              </w:rPr>
              <w:t xml:space="preserve"> [vo forme prášku, ktorý obsahuje 1 % alebo vyšší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podiel častíc s aerodynamickým priemerom ≤ 10 </w:t>
            </w:r>
            <w:proofErr w:type="spellStart"/>
            <w:r w:rsidRPr="00CC0A34">
              <w:rPr>
                <w:rFonts w:ascii="Arial" w:hAnsi="Arial" w:cs="Arial"/>
                <w:sz w:val="17"/>
                <w:szCs w:val="17"/>
              </w:rPr>
              <w:t>μm</w:t>
            </w:r>
            <w:proofErr w:type="spellEnd"/>
            <w:r w:rsidRPr="00CC0A34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CC0A3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13463-67-7</w:t>
            </w:r>
          </w:p>
          <w:p w:rsidR="00B22DA6" w:rsidRPr="00CC0A3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236-675-5</w:t>
            </w:r>
          </w:p>
          <w:p w:rsidR="00B22DA6" w:rsidRPr="00846B73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01-2119489379-17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Carc.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22DA6" w:rsidRPr="00846B73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</w:t>
            </w:r>
            <w:proofErr w:type="spellStart"/>
            <w:r w:rsidRPr="009B4464">
              <w:rPr>
                <w:rFonts w:ascii="Arial" w:hAnsi="Arial" w:cs="Arial"/>
                <w:sz w:val="17"/>
                <w:szCs w:val="17"/>
              </w:rPr>
              <w:t>butanol</w:t>
            </w:r>
            <w:proofErr w:type="spellEnd"/>
          </w:p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22DA6" w:rsidRPr="009B4464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FB75B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B22DA6"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="00B22DA6" w:rsidRPr="00FB75B2">
              <w:rPr>
                <w:rFonts w:ascii="Arial" w:hAnsi="Arial" w:cs="Arial"/>
                <w:sz w:val="20"/>
                <w:szCs w:val="20"/>
              </w:rPr>
              <w:t>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816C89">
              <w:rPr>
                <w:rFonts w:ascii="Arial" w:hAnsi="Arial" w:cs="Arial"/>
                <w:sz w:val="20"/>
                <w:szCs w:val="20"/>
              </w:rPr>
              <w:t xml:space="preserve"> Etylacetát (octan etylový)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="00B22DA6" w:rsidRPr="00182657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CC0A34">
              <w:rPr>
                <w:rFonts w:ascii="Arial" w:hAnsi="Arial" w:cs="Arial"/>
                <w:sz w:val="20"/>
                <w:szCs w:val="20"/>
              </w:rPr>
              <w:t>2-Metoxypropán-2-yl acetát (</w:t>
            </w:r>
            <w:proofErr w:type="spellStart"/>
            <w:r w:rsidR="00B22DA6" w:rsidRPr="00CC0A34">
              <w:rPr>
                <w:rFonts w:ascii="Arial" w:hAnsi="Arial" w:cs="Arial"/>
                <w:sz w:val="20"/>
                <w:szCs w:val="20"/>
              </w:rPr>
              <w:t>propylénglykol</w:t>
            </w:r>
            <w:proofErr w:type="spellEnd"/>
            <w:r w:rsidR="00B22DA6" w:rsidRPr="00CC0A34">
              <w:rPr>
                <w:rFonts w:ascii="Arial" w:hAnsi="Arial" w:cs="Arial"/>
                <w:sz w:val="20"/>
                <w:szCs w:val="20"/>
              </w:rPr>
              <w:t xml:space="preserve"> 1-metyléter 2-acetát)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="00B22DA6"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22DA6"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="00B22DA6" w:rsidRPr="00953B41">
              <w:rPr>
                <w:rFonts w:ascii="Arial" w:hAnsi="Arial" w:cs="Arial"/>
                <w:sz w:val="20"/>
                <w:szCs w:val="20"/>
              </w:rPr>
              <w:t>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 w:rsidR="00B22DA6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="00B22DA6" w:rsidRPr="00B90B3F">
              <w:rPr>
                <w:rFonts w:ascii="Arial" w:hAnsi="Arial" w:cs="Arial"/>
                <w:sz w:val="20"/>
                <w:szCs w:val="20"/>
              </w:rPr>
              <w:t xml:space="preserve"> (propán-2-ol)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  <w:p w:rsidR="00EF6830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je pod tlakom. Chrániť pred slnečným žiarením a teplotami nad 50° C (napr. od žiaroviek). Ani po</w:t>
            </w:r>
          </w:p>
          <w:p w:rsidR="00EF6830" w:rsidRPr="006F445E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neotvárať násilím ani nespaľovať.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lastRenderedPageBreak/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Pr="00FB75B2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657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657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182657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50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182657">
              <w:rPr>
                <w:rFonts w:ascii="Arial" w:hAnsi="Arial" w:cs="Arial"/>
                <w:sz w:val="20"/>
                <w:szCs w:val="20"/>
              </w:rPr>
              <w:t>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</w:t>
            </w:r>
            <w:proofErr w:type="spellStart"/>
            <w:r w:rsidRPr="00CC0A34">
              <w:rPr>
                <w:rFonts w:ascii="Arial" w:hAnsi="Arial" w:cs="Arial"/>
                <w:sz w:val="20"/>
                <w:szCs w:val="20"/>
              </w:rPr>
              <w:t>propylénglykol</w:t>
            </w:r>
            <w:proofErr w:type="spellEnd"/>
            <w:r w:rsidRPr="00CC0A34">
              <w:rPr>
                <w:rFonts w:ascii="Arial" w:hAnsi="Arial" w:cs="Arial"/>
                <w:sz w:val="20"/>
                <w:szCs w:val="20"/>
              </w:rPr>
              <w:t xml:space="preserve">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 xml:space="preserve">33. 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B22DA6" w:rsidRDefault="00B22DA6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Butylalkohol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2DA6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2,6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B22DA6">
              <w:rPr>
                <w:rFonts w:ascii="Arial" w:hAnsi="Arial" w:cs="Arial"/>
                <w:sz w:val="20"/>
                <w:szCs w:val="20"/>
              </w:rPr>
              <w:t>% (67-64-1 acetón)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26,2 </w:t>
            </w:r>
            <w:r>
              <w:rPr>
                <w:rFonts w:ascii="Arial" w:hAnsi="Arial" w:cs="Arial"/>
                <w:sz w:val="20"/>
                <w:szCs w:val="20"/>
              </w:rPr>
              <w:t>obj.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% (115-10-6 </w:t>
            </w:r>
            <w:proofErr w:type="spellStart"/>
            <w:r w:rsidRPr="00B22DA6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B22DA6" w:rsidRPr="00B22DA6" w:rsidRDefault="0011137B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Organické rozpúšťadlá: 90,3 %</w:t>
            </w:r>
          </w:p>
          <w:p w:rsidR="00D74472" w:rsidRPr="00D74472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Voda: 0,3 % 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B22DA6">
              <w:rPr>
                <w:rFonts w:ascii="Arial" w:hAnsi="Arial" w:cs="Arial"/>
                <w:sz w:val="20"/>
                <w:szCs w:val="20"/>
              </w:rPr>
              <w:t>676,7 g/l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VOC-EU% 90,28 %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pevných častí: 10,5 %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141-78-6 etyl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&gt;18000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5620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</w:t>
            </w:r>
            <w:r w:rsidRPr="00B22DA6">
              <w:rPr>
                <w:rFonts w:ascii="Arial" w:hAnsi="Arial" w:cs="Arial"/>
                <w:sz w:val="20"/>
                <w:szCs w:val="20"/>
              </w:rPr>
              <w:t>e LC50 / 4 h 1600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(potkan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123-86-4 butyl acetát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10800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 (OECD 401)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&gt;17600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&gt;21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8530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&gt;10000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B22DA6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2292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3430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 w:rsidR="002446FE">
              <w:rPr>
                <w:rFonts w:ascii="Arial" w:hAnsi="Arial" w:cs="Arial"/>
                <w:sz w:val="20"/>
                <w:szCs w:val="20"/>
              </w:rPr>
              <w:t>č</w:t>
            </w:r>
            <w:r w:rsidRPr="00B22DA6">
              <w:rPr>
                <w:rFonts w:ascii="Arial" w:hAnsi="Arial" w:cs="Arial"/>
                <w:sz w:val="20"/>
                <w:szCs w:val="20"/>
              </w:rPr>
              <w:t>ne LC50 / 4 h 17000 mg/m3</w:t>
            </w:r>
            <w:r w:rsidR="00244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DA6">
              <w:rPr>
                <w:rFonts w:ascii="Arial" w:hAnsi="Arial" w:cs="Arial"/>
                <w:sz w:val="20"/>
                <w:szCs w:val="20"/>
              </w:rPr>
              <w:t>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5840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2DA6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48 h &gt;500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100-180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oncorhync</w:t>
            </w:r>
            <w:r>
              <w:rPr>
                <w:rFonts w:ascii="Arial" w:hAnsi="Arial" w:cs="Arial"/>
                <w:sz w:val="20"/>
                <w:szCs w:val="20"/>
              </w:rPr>
              <w:t>hus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mykiss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Regenbogenforelle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1376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446FE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A04780" w:rsidRDefault="00A04780" w:rsidP="00A0478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lastRenderedPageBreak/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14.7. Doprava hromadného nákladu podľa prílohy II k </w:t>
            </w: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2D193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D193C" w:rsidRPr="006F445E" w:rsidRDefault="00EB021E" w:rsidP="002D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446FE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2D5877" w:rsidRDefault="002446F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  <w:r w:rsidR="002D5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455901" w:rsidRDefault="00455901" w:rsidP="0045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H351 Podozrenie, že spôsobuje rakovinu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F5" w:rsidRDefault="002502F5" w:rsidP="00DD79BD">
      <w:pPr>
        <w:spacing w:after="0" w:line="240" w:lineRule="auto"/>
      </w:pPr>
      <w:r>
        <w:separator/>
      </w:r>
    </w:p>
  </w:endnote>
  <w:endnote w:type="continuationSeparator" w:id="0">
    <w:p w:rsidR="002502F5" w:rsidRDefault="002502F5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C" w:rsidRPr="00DD79BD" w:rsidRDefault="002D193C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EE44A5">
      <w:rPr>
        <w:rFonts w:ascii="Arial" w:hAnsi="Arial" w:cs="Arial"/>
        <w:sz w:val="20"/>
        <w:szCs w:val="20"/>
      </w:rPr>
      <w:t>STRIEBORNÁ FARBA NA DISKY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5E55A5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5E55A5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F5" w:rsidRDefault="002502F5" w:rsidP="00DD79BD">
      <w:pPr>
        <w:spacing w:after="0" w:line="240" w:lineRule="auto"/>
      </w:pPr>
      <w:r>
        <w:separator/>
      </w:r>
    </w:p>
  </w:footnote>
  <w:footnote w:type="continuationSeparator" w:id="0">
    <w:p w:rsidR="002502F5" w:rsidRDefault="002502F5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3C" w:rsidRDefault="002D193C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2D193C" w:rsidTr="005E55A5">
      <w:tc>
        <w:tcPr>
          <w:tcW w:w="9100" w:type="dxa"/>
          <w:gridSpan w:val="5"/>
          <w:hideMark/>
        </w:tcPr>
        <w:p w:rsidR="002D193C" w:rsidRDefault="002D19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43B5076" wp14:editId="128A77E4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D193C" w:rsidRDefault="002D19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2D193C" w:rsidRDefault="002D19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2D193C" w:rsidRDefault="002D19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2D193C" w:rsidTr="005E55A5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D193C" w:rsidRPr="00012FA9" w:rsidRDefault="002D193C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E44A5">
            <w:rPr>
              <w:rFonts w:ascii="Arial" w:hAnsi="Arial" w:cs="Arial"/>
              <w:b/>
              <w:sz w:val="20"/>
              <w:szCs w:val="20"/>
            </w:rPr>
            <w:t>STRIEBORNÁ FARBA NA DISKY 400 ML</w:t>
          </w:r>
        </w:p>
      </w:tc>
    </w:tr>
    <w:tr w:rsidR="002D193C" w:rsidRPr="00211B17" w:rsidTr="005E55A5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D193C" w:rsidRPr="004C5630" w:rsidRDefault="002D193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D193C" w:rsidRPr="00DE4923" w:rsidRDefault="005E55A5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D193C" w:rsidRPr="004C5630" w:rsidRDefault="002D193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D193C" w:rsidRPr="00065F9E" w:rsidRDefault="002D193C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2D193C" w:rsidRPr="00352853" w:rsidRDefault="002D193C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15930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53E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00F01"/>
    <w:rsid w:val="0011137B"/>
    <w:rsid w:val="0011244E"/>
    <w:rsid w:val="00113F81"/>
    <w:rsid w:val="00124184"/>
    <w:rsid w:val="001264AB"/>
    <w:rsid w:val="00126CD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446FE"/>
    <w:rsid w:val="002502F5"/>
    <w:rsid w:val="00264C18"/>
    <w:rsid w:val="002B3C0E"/>
    <w:rsid w:val="002D193C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0DF7"/>
    <w:rsid w:val="0038199A"/>
    <w:rsid w:val="00384336"/>
    <w:rsid w:val="00391F64"/>
    <w:rsid w:val="00396D68"/>
    <w:rsid w:val="00397A85"/>
    <w:rsid w:val="003A3FED"/>
    <w:rsid w:val="003A405E"/>
    <w:rsid w:val="003F0969"/>
    <w:rsid w:val="004068A8"/>
    <w:rsid w:val="004167C4"/>
    <w:rsid w:val="004352F0"/>
    <w:rsid w:val="00446607"/>
    <w:rsid w:val="0044767E"/>
    <w:rsid w:val="00453EDA"/>
    <w:rsid w:val="00455901"/>
    <w:rsid w:val="00492B67"/>
    <w:rsid w:val="004B1F43"/>
    <w:rsid w:val="004B735B"/>
    <w:rsid w:val="004C4623"/>
    <w:rsid w:val="004C5630"/>
    <w:rsid w:val="0050393B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55A5"/>
    <w:rsid w:val="005E61F1"/>
    <w:rsid w:val="005E68C9"/>
    <w:rsid w:val="00620FCA"/>
    <w:rsid w:val="006223C7"/>
    <w:rsid w:val="00624F76"/>
    <w:rsid w:val="00656C5E"/>
    <w:rsid w:val="00667996"/>
    <w:rsid w:val="00672CBE"/>
    <w:rsid w:val="0069123C"/>
    <w:rsid w:val="006B24EF"/>
    <w:rsid w:val="006C23E0"/>
    <w:rsid w:val="006D2FA9"/>
    <w:rsid w:val="006F445E"/>
    <w:rsid w:val="007026A2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9472E"/>
    <w:rsid w:val="009B4464"/>
    <w:rsid w:val="009C4812"/>
    <w:rsid w:val="009E2B14"/>
    <w:rsid w:val="00A02D9B"/>
    <w:rsid w:val="00A04780"/>
    <w:rsid w:val="00A20B35"/>
    <w:rsid w:val="00A2681C"/>
    <w:rsid w:val="00A450D3"/>
    <w:rsid w:val="00A46DFC"/>
    <w:rsid w:val="00A749DC"/>
    <w:rsid w:val="00A928B3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22DA6"/>
    <w:rsid w:val="00B279E6"/>
    <w:rsid w:val="00B44814"/>
    <w:rsid w:val="00B45981"/>
    <w:rsid w:val="00B5103E"/>
    <w:rsid w:val="00B51D9C"/>
    <w:rsid w:val="00B52DF2"/>
    <w:rsid w:val="00B7365E"/>
    <w:rsid w:val="00B77253"/>
    <w:rsid w:val="00B86951"/>
    <w:rsid w:val="00BC0ACF"/>
    <w:rsid w:val="00BC52F9"/>
    <w:rsid w:val="00BC65AC"/>
    <w:rsid w:val="00BD254A"/>
    <w:rsid w:val="00C103A4"/>
    <w:rsid w:val="00C26F16"/>
    <w:rsid w:val="00C40611"/>
    <w:rsid w:val="00C57618"/>
    <w:rsid w:val="00C7481F"/>
    <w:rsid w:val="00C7544E"/>
    <w:rsid w:val="00C906C7"/>
    <w:rsid w:val="00C97141"/>
    <w:rsid w:val="00C97642"/>
    <w:rsid w:val="00CC0A34"/>
    <w:rsid w:val="00CD04B4"/>
    <w:rsid w:val="00CE0639"/>
    <w:rsid w:val="00CF6749"/>
    <w:rsid w:val="00D124C0"/>
    <w:rsid w:val="00D1286E"/>
    <w:rsid w:val="00D20128"/>
    <w:rsid w:val="00D20FCC"/>
    <w:rsid w:val="00D33786"/>
    <w:rsid w:val="00D376BE"/>
    <w:rsid w:val="00D43DF3"/>
    <w:rsid w:val="00D47896"/>
    <w:rsid w:val="00D64818"/>
    <w:rsid w:val="00D74472"/>
    <w:rsid w:val="00DB08E0"/>
    <w:rsid w:val="00DB116C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021E"/>
    <w:rsid w:val="00EB6C83"/>
    <w:rsid w:val="00EC0DE2"/>
    <w:rsid w:val="00EC4614"/>
    <w:rsid w:val="00EC58D3"/>
    <w:rsid w:val="00EC7CD7"/>
    <w:rsid w:val="00ED0A4A"/>
    <w:rsid w:val="00EE44A5"/>
    <w:rsid w:val="00EF6830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96AD-602A-49A4-B4D8-66DFEE9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3996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2022-09-22T08:57:00Z</dcterms:created>
  <dcterms:modified xsi:type="dcterms:W3CDTF">2022-09-22T18:49:00Z</dcterms:modified>
</cp:coreProperties>
</file>